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E39E" w14:textId="12DCEE5A" w:rsidR="00DA3867" w:rsidRPr="00DA3867" w:rsidRDefault="00DA3867" w:rsidP="002302D5">
      <w:pPr>
        <w:spacing w:after="240"/>
        <w:rPr>
          <w:rFonts w:ascii="Times New Roman" w:eastAsia="Aptos" w:hAnsi="Times New Roman" w:cs="Times New Roman"/>
          <w:b/>
          <w:bCs/>
          <w:i/>
          <w:iCs/>
          <w:sz w:val="22"/>
          <w:szCs w:val="22"/>
        </w:rPr>
      </w:pPr>
      <w:r>
        <w:rPr>
          <w:rFonts w:ascii="Times New Roman" w:eastAsia="Aptos" w:hAnsi="Times New Roman" w:cs="Times New Roman"/>
          <w:b/>
          <w:bCs/>
          <w:sz w:val="22"/>
          <w:szCs w:val="22"/>
        </w:rPr>
        <w:t xml:space="preserve">First </w:t>
      </w:r>
      <w:r w:rsidRPr="00DA3867">
        <w:rPr>
          <w:rFonts w:ascii="Times New Roman" w:eastAsia="Aptos" w:hAnsi="Times New Roman" w:cs="Times New Roman"/>
          <w:b/>
          <w:bCs/>
          <w:sz w:val="22"/>
          <w:szCs w:val="22"/>
        </w:rPr>
        <w:t>Quarter 202</w:t>
      </w:r>
      <w:r>
        <w:rPr>
          <w:rFonts w:ascii="Times New Roman" w:eastAsia="Aptos" w:hAnsi="Times New Roman" w:cs="Times New Roman"/>
          <w:b/>
          <w:bCs/>
          <w:sz w:val="22"/>
          <w:szCs w:val="22"/>
        </w:rPr>
        <w:t>5</w:t>
      </w:r>
      <w:r w:rsidRPr="00DA3867">
        <w:rPr>
          <w:rFonts w:ascii="Times New Roman" w:eastAsia="Aptos" w:hAnsi="Times New Roman" w:cs="Times New Roman"/>
          <w:b/>
          <w:bCs/>
          <w:sz w:val="22"/>
          <w:szCs w:val="22"/>
        </w:rPr>
        <w:t xml:space="preserve"> Client Market Update Letter</w:t>
      </w:r>
      <w:r w:rsidRPr="00DA3867">
        <w:rPr>
          <w:rFonts w:ascii="Times New Roman" w:eastAsia="Aptos" w:hAnsi="Times New Roman" w:cs="Times New Roman"/>
          <w:b/>
          <w:bCs/>
          <w:i/>
          <w:iCs/>
          <w:sz w:val="22"/>
          <w:szCs w:val="22"/>
        </w:rPr>
        <w:t xml:space="preserve"> template (general)</w:t>
      </w:r>
    </w:p>
    <w:p w14:paraId="0EA3DF4E" w14:textId="49D55718" w:rsidR="005822BD" w:rsidRPr="002302D5" w:rsidRDefault="00DA3867" w:rsidP="002302D5">
      <w:pPr>
        <w:spacing w:after="240"/>
        <w:rPr>
          <w:rFonts w:ascii="Times New Roman" w:eastAsia="Aptos" w:hAnsi="Times New Roman" w:cs="Times New Roman"/>
          <w:i/>
          <w:iCs/>
          <w:sz w:val="22"/>
          <w:szCs w:val="22"/>
        </w:rPr>
      </w:pPr>
      <w:r w:rsidRPr="00DA3867">
        <w:rPr>
          <w:rFonts w:ascii="Times New Roman" w:eastAsia="Aptos" w:hAnsi="Times New Roman" w:cs="Times New Roman"/>
          <w:i/>
          <w:iCs/>
          <w:sz w:val="22"/>
          <w:szCs w:val="22"/>
        </w:rPr>
        <w:t>Advisors may use this letter as a model for a client letter. Please modify as you see fit.</w:t>
      </w:r>
    </w:p>
    <w:p w14:paraId="5665A385" w14:textId="4E96EA35" w:rsidR="00DA3867" w:rsidRPr="00DA3867" w:rsidRDefault="00DA3867" w:rsidP="00DA3867">
      <w:pPr>
        <w:rPr>
          <w:rFonts w:ascii="Times New Roman" w:eastAsia="Aptos" w:hAnsi="Times New Roman" w:cs="Times New Roman"/>
          <w:b/>
          <w:bCs/>
          <w:sz w:val="22"/>
          <w:szCs w:val="22"/>
        </w:rPr>
      </w:pPr>
      <w:proofErr w:type="gramStart"/>
      <w:r>
        <w:rPr>
          <w:rFonts w:ascii="Times New Roman" w:eastAsia="Aptos" w:hAnsi="Times New Roman" w:cs="Times New Roman"/>
          <w:b/>
          <w:bCs/>
          <w:sz w:val="22"/>
          <w:szCs w:val="22"/>
        </w:rPr>
        <w:t>April xx,</w:t>
      </w:r>
      <w:proofErr w:type="gramEnd"/>
      <w:r>
        <w:rPr>
          <w:rFonts w:ascii="Times New Roman" w:eastAsia="Aptos" w:hAnsi="Times New Roman" w:cs="Times New Roman"/>
          <w:b/>
          <w:bCs/>
          <w:sz w:val="22"/>
          <w:szCs w:val="22"/>
        </w:rPr>
        <w:t xml:space="preserve"> 2025</w:t>
      </w:r>
    </w:p>
    <w:p w14:paraId="70D30A9B" w14:textId="02BB45A3" w:rsidR="00E74225" w:rsidRPr="00DA3867" w:rsidRDefault="00E74225">
      <w:pPr>
        <w:rPr>
          <w:rFonts w:ascii="Times New Roman" w:hAnsi="Times New Roman" w:cs="Times New Roman"/>
          <w:sz w:val="22"/>
          <w:szCs w:val="22"/>
        </w:rPr>
      </w:pPr>
      <w:r w:rsidRPr="00DA3867">
        <w:rPr>
          <w:rFonts w:ascii="Times New Roman" w:hAnsi="Times New Roman" w:cs="Times New Roman"/>
          <w:sz w:val="22"/>
          <w:szCs w:val="22"/>
        </w:rPr>
        <w:t>Dear Client</w:t>
      </w:r>
      <w:r w:rsidR="007B0F96">
        <w:rPr>
          <w:rFonts w:ascii="Times New Roman" w:hAnsi="Times New Roman" w:cs="Times New Roman"/>
          <w:sz w:val="22"/>
          <w:szCs w:val="22"/>
        </w:rPr>
        <w:t>,</w:t>
      </w:r>
    </w:p>
    <w:p w14:paraId="5A8CD153" w14:textId="19602288" w:rsidR="00CD1030" w:rsidRPr="00DA3867" w:rsidRDefault="00194E61">
      <w:pPr>
        <w:rPr>
          <w:rFonts w:ascii="Times New Roman" w:hAnsi="Times New Roman" w:cs="Times New Roman"/>
          <w:sz w:val="22"/>
          <w:szCs w:val="22"/>
        </w:rPr>
      </w:pPr>
      <w:r w:rsidRPr="00DA3867">
        <w:rPr>
          <w:rFonts w:ascii="Times New Roman" w:hAnsi="Times New Roman" w:cs="Times New Roman"/>
          <w:sz w:val="22"/>
          <w:szCs w:val="22"/>
        </w:rPr>
        <w:t xml:space="preserve">In </w:t>
      </w:r>
      <w:r w:rsidR="00F62F2D" w:rsidRPr="00DA3867">
        <w:rPr>
          <w:rFonts w:ascii="Times New Roman" w:hAnsi="Times New Roman" w:cs="Times New Roman"/>
          <w:sz w:val="22"/>
          <w:szCs w:val="22"/>
        </w:rPr>
        <w:t>the first quarter of 2025</w:t>
      </w:r>
      <w:r w:rsidR="004A718C" w:rsidRPr="00DA3867">
        <w:rPr>
          <w:rFonts w:ascii="Times New Roman" w:hAnsi="Times New Roman" w:cs="Times New Roman"/>
          <w:sz w:val="22"/>
          <w:szCs w:val="22"/>
        </w:rPr>
        <w:t>,</w:t>
      </w:r>
      <w:r w:rsidR="00F62F2D" w:rsidRPr="00DA3867">
        <w:rPr>
          <w:rFonts w:ascii="Times New Roman" w:hAnsi="Times New Roman" w:cs="Times New Roman"/>
          <w:sz w:val="22"/>
          <w:szCs w:val="22"/>
        </w:rPr>
        <w:t xml:space="preserve"> Donald Trump entered office, Justin Trudeau departed, and Mark Carney became Canada’s 24</w:t>
      </w:r>
      <w:r w:rsidR="00F62F2D" w:rsidRPr="00DA3867">
        <w:rPr>
          <w:rFonts w:ascii="Times New Roman" w:hAnsi="Times New Roman" w:cs="Times New Roman"/>
          <w:sz w:val="22"/>
          <w:szCs w:val="22"/>
          <w:vertAlign w:val="superscript"/>
        </w:rPr>
        <w:t>th</w:t>
      </w:r>
      <w:r w:rsidR="00F62F2D" w:rsidRPr="00DA3867">
        <w:rPr>
          <w:rFonts w:ascii="Times New Roman" w:hAnsi="Times New Roman" w:cs="Times New Roman"/>
          <w:sz w:val="22"/>
          <w:szCs w:val="22"/>
        </w:rPr>
        <w:t xml:space="preserve"> Prime Minister and called an election for April 28</w:t>
      </w:r>
      <w:r w:rsidR="00F62F2D" w:rsidRPr="00DA3867">
        <w:rPr>
          <w:rFonts w:ascii="Times New Roman" w:hAnsi="Times New Roman" w:cs="Times New Roman"/>
          <w:sz w:val="22"/>
          <w:szCs w:val="22"/>
          <w:vertAlign w:val="superscript"/>
        </w:rPr>
        <w:t>th</w:t>
      </w:r>
      <w:r w:rsidR="00F62F2D" w:rsidRPr="00DA3867">
        <w:rPr>
          <w:rFonts w:ascii="Times New Roman" w:hAnsi="Times New Roman" w:cs="Times New Roman"/>
          <w:sz w:val="22"/>
          <w:szCs w:val="22"/>
        </w:rPr>
        <w:t xml:space="preserve">. Running in parallel to these </w:t>
      </w:r>
      <w:r w:rsidR="00E50D66" w:rsidRPr="00DA3867">
        <w:rPr>
          <w:rFonts w:ascii="Times New Roman" w:hAnsi="Times New Roman" w:cs="Times New Roman"/>
          <w:sz w:val="22"/>
          <w:szCs w:val="22"/>
        </w:rPr>
        <w:t xml:space="preserve">political </w:t>
      </w:r>
      <w:r w:rsidR="004A718C" w:rsidRPr="00DA3867">
        <w:rPr>
          <w:rFonts w:ascii="Times New Roman" w:hAnsi="Times New Roman" w:cs="Times New Roman"/>
          <w:sz w:val="22"/>
          <w:szCs w:val="22"/>
        </w:rPr>
        <w:t>changes</w:t>
      </w:r>
      <w:r w:rsidR="00F62F2D" w:rsidRPr="00DA3867">
        <w:rPr>
          <w:rFonts w:ascii="Times New Roman" w:hAnsi="Times New Roman" w:cs="Times New Roman"/>
          <w:sz w:val="22"/>
          <w:szCs w:val="22"/>
        </w:rPr>
        <w:t xml:space="preserve"> were n</w:t>
      </w:r>
      <w:r w:rsidR="00804998" w:rsidRPr="00DA3867">
        <w:rPr>
          <w:rFonts w:ascii="Times New Roman" w:hAnsi="Times New Roman" w:cs="Times New Roman"/>
          <w:sz w:val="22"/>
          <w:szCs w:val="22"/>
        </w:rPr>
        <w:t xml:space="preserve">umerous </w:t>
      </w:r>
      <w:r w:rsidR="00810D11" w:rsidRPr="00DA3867">
        <w:rPr>
          <w:rFonts w:ascii="Times New Roman" w:hAnsi="Times New Roman" w:cs="Times New Roman"/>
          <w:sz w:val="22"/>
          <w:szCs w:val="22"/>
        </w:rPr>
        <w:t xml:space="preserve">and often unexpected </w:t>
      </w:r>
      <w:r w:rsidR="009C737E" w:rsidRPr="00DA3867">
        <w:rPr>
          <w:rFonts w:ascii="Times New Roman" w:hAnsi="Times New Roman" w:cs="Times New Roman"/>
          <w:sz w:val="22"/>
          <w:szCs w:val="22"/>
        </w:rPr>
        <w:t>US</w:t>
      </w:r>
      <w:r w:rsidR="00B3174E" w:rsidRPr="00DA3867">
        <w:rPr>
          <w:rFonts w:ascii="Times New Roman" w:hAnsi="Times New Roman" w:cs="Times New Roman"/>
          <w:sz w:val="22"/>
          <w:szCs w:val="22"/>
        </w:rPr>
        <w:t xml:space="preserve"> </w:t>
      </w:r>
      <w:r w:rsidRPr="00DA3867">
        <w:rPr>
          <w:rFonts w:ascii="Times New Roman" w:hAnsi="Times New Roman" w:cs="Times New Roman"/>
          <w:sz w:val="22"/>
          <w:szCs w:val="22"/>
        </w:rPr>
        <w:t xml:space="preserve">trade </w:t>
      </w:r>
      <w:r w:rsidR="00B3174E" w:rsidRPr="00DA3867">
        <w:rPr>
          <w:rFonts w:ascii="Times New Roman" w:hAnsi="Times New Roman" w:cs="Times New Roman"/>
          <w:sz w:val="22"/>
          <w:szCs w:val="22"/>
        </w:rPr>
        <w:t>t</w:t>
      </w:r>
      <w:r w:rsidR="00810D11" w:rsidRPr="00DA3867">
        <w:rPr>
          <w:rFonts w:ascii="Times New Roman" w:hAnsi="Times New Roman" w:cs="Times New Roman"/>
          <w:sz w:val="22"/>
          <w:szCs w:val="22"/>
        </w:rPr>
        <w:t>ariff</w:t>
      </w:r>
      <w:r w:rsidR="00B3174E" w:rsidRPr="00DA3867">
        <w:rPr>
          <w:rFonts w:ascii="Times New Roman" w:hAnsi="Times New Roman" w:cs="Times New Roman"/>
          <w:sz w:val="22"/>
          <w:szCs w:val="22"/>
        </w:rPr>
        <w:t xml:space="preserve"> </w:t>
      </w:r>
      <w:r w:rsidR="00804998" w:rsidRPr="00DA3867">
        <w:rPr>
          <w:rFonts w:ascii="Times New Roman" w:hAnsi="Times New Roman" w:cs="Times New Roman"/>
          <w:sz w:val="22"/>
          <w:szCs w:val="22"/>
        </w:rPr>
        <w:t>announcements</w:t>
      </w:r>
      <w:r w:rsidRPr="00DA3867">
        <w:rPr>
          <w:rFonts w:ascii="Times New Roman" w:hAnsi="Times New Roman" w:cs="Times New Roman"/>
          <w:sz w:val="22"/>
          <w:szCs w:val="22"/>
        </w:rPr>
        <w:t xml:space="preserve"> that </w:t>
      </w:r>
      <w:r w:rsidR="004A718C" w:rsidRPr="00DA3867">
        <w:rPr>
          <w:rFonts w:ascii="Times New Roman" w:hAnsi="Times New Roman" w:cs="Times New Roman"/>
          <w:sz w:val="22"/>
          <w:szCs w:val="22"/>
        </w:rPr>
        <w:t xml:space="preserve">ultimately </w:t>
      </w:r>
      <w:r w:rsidRPr="00DA3867">
        <w:rPr>
          <w:rFonts w:ascii="Times New Roman" w:hAnsi="Times New Roman" w:cs="Times New Roman"/>
          <w:sz w:val="22"/>
          <w:szCs w:val="22"/>
        </w:rPr>
        <w:t>unsettled markets.</w:t>
      </w:r>
      <w:r w:rsidR="00EF7079" w:rsidRPr="00DA3867">
        <w:rPr>
          <w:rFonts w:ascii="Times New Roman" w:hAnsi="Times New Roman" w:cs="Times New Roman"/>
          <w:sz w:val="22"/>
          <w:szCs w:val="22"/>
        </w:rPr>
        <w:t xml:space="preserve"> </w:t>
      </w:r>
    </w:p>
    <w:p w14:paraId="3244305B" w14:textId="45C6E840" w:rsidR="00CD1030" w:rsidRPr="00DA3867" w:rsidRDefault="00EF7079">
      <w:pPr>
        <w:rPr>
          <w:rFonts w:ascii="Times New Roman" w:hAnsi="Times New Roman" w:cs="Times New Roman"/>
          <w:sz w:val="22"/>
          <w:szCs w:val="22"/>
        </w:rPr>
      </w:pPr>
      <w:r w:rsidRPr="00DA3867">
        <w:rPr>
          <w:rFonts w:ascii="Times New Roman" w:hAnsi="Times New Roman" w:cs="Times New Roman"/>
          <w:sz w:val="22"/>
          <w:szCs w:val="22"/>
        </w:rPr>
        <w:t xml:space="preserve">The cumulative effect of Trump’s </w:t>
      </w:r>
      <w:r w:rsidR="00194E61" w:rsidRPr="00DA3867">
        <w:rPr>
          <w:rFonts w:ascii="Times New Roman" w:hAnsi="Times New Roman" w:cs="Times New Roman"/>
          <w:sz w:val="22"/>
          <w:szCs w:val="22"/>
        </w:rPr>
        <w:t>burst</w:t>
      </w:r>
      <w:r w:rsidR="00C173A3" w:rsidRPr="00DA3867">
        <w:rPr>
          <w:rFonts w:ascii="Times New Roman" w:hAnsi="Times New Roman" w:cs="Times New Roman"/>
          <w:sz w:val="22"/>
          <w:szCs w:val="22"/>
        </w:rPr>
        <w:t xml:space="preserve"> of </w:t>
      </w:r>
      <w:r w:rsidR="005D3A23" w:rsidRPr="00DA3867">
        <w:rPr>
          <w:rFonts w:ascii="Times New Roman" w:hAnsi="Times New Roman" w:cs="Times New Roman"/>
          <w:sz w:val="22"/>
          <w:szCs w:val="22"/>
        </w:rPr>
        <w:t xml:space="preserve">economic orders and </w:t>
      </w:r>
      <w:r w:rsidR="00194E61" w:rsidRPr="00DA3867">
        <w:rPr>
          <w:rFonts w:ascii="Times New Roman" w:hAnsi="Times New Roman" w:cs="Times New Roman"/>
          <w:sz w:val="22"/>
          <w:szCs w:val="22"/>
        </w:rPr>
        <w:t xml:space="preserve">pronouncements </w:t>
      </w:r>
      <w:r w:rsidRPr="00DA3867">
        <w:rPr>
          <w:rFonts w:ascii="Times New Roman" w:hAnsi="Times New Roman" w:cs="Times New Roman"/>
          <w:sz w:val="22"/>
          <w:szCs w:val="22"/>
        </w:rPr>
        <w:t>on investor sentiment eventually erased a</w:t>
      </w:r>
      <w:r w:rsidR="00810D11" w:rsidRPr="00DA3867">
        <w:rPr>
          <w:rFonts w:ascii="Times New Roman" w:hAnsi="Times New Roman" w:cs="Times New Roman"/>
          <w:sz w:val="22"/>
          <w:szCs w:val="22"/>
        </w:rPr>
        <w:t xml:space="preserve"> </w:t>
      </w:r>
      <w:r w:rsidR="00C173A3" w:rsidRPr="00DA3867">
        <w:rPr>
          <w:rFonts w:ascii="Times New Roman" w:hAnsi="Times New Roman" w:cs="Times New Roman"/>
          <w:sz w:val="22"/>
          <w:szCs w:val="22"/>
        </w:rPr>
        <w:t>bullish</w:t>
      </w:r>
      <w:r w:rsidR="00810D11" w:rsidRPr="00DA3867">
        <w:rPr>
          <w:rFonts w:ascii="Times New Roman" w:hAnsi="Times New Roman" w:cs="Times New Roman"/>
          <w:sz w:val="22"/>
          <w:szCs w:val="22"/>
        </w:rPr>
        <w:t xml:space="preserve"> start to the </w:t>
      </w:r>
      <w:r w:rsidRPr="00DA3867">
        <w:rPr>
          <w:rFonts w:ascii="Times New Roman" w:hAnsi="Times New Roman" w:cs="Times New Roman"/>
          <w:sz w:val="22"/>
          <w:szCs w:val="22"/>
        </w:rPr>
        <w:t xml:space="preserve">year for </w:t>
      </w:r>
      <w:r w:rsidR="00810D11" w:rsidRPr="00DA3867">
        <w:rPr>
          <w:rFonts w:ascii="Times New Roman" w:hAnsi="Times New Roman" w:cs="Times New Roman"/>
          <w:sz w:val="22"/>
          <w:szCs w:val="22"/>
        </w:rPr>
        <w:t>North American equities</w:t>
      </w:r>
      <w:r w:rsidR="004A718C" w:rsidRPr="00DA3867">
        <w:rPr>
          <w:rFonts w:ascii="Times New Roman" w:hAnsi="Times New Roman" w:cs="Times New Roman"/>
          <w:sz w:val="22"/>
          <w:szCs w:val="22"/>
        </w:rPr>
        <w:t>.</w:t>
      </w:r>
      <w:r w:rsidR="00B3174E" w:rsidRPr="00DA3867">
        <w:rPr>
          <w:rFonts w:ascii="Times New Roman" w:hAnsi="Times New Roman" w:cs="Times New Roman"/>
          <w:sz w:val="22"/>
          <w:szCs w:val="22"/>
        </w:rPr>
        <w:t xml:space="preserve"> </w:t>
      </w:r>
      <w:r w:rsidR="004A718C" w:rsidRPr="00DA3867">
        <w:rPr>
          <w:rFonts w:ascii="Times New Roman" w:hAnsi="Times New Roman" w:cs="Times New Roman"/>
          <w:sz w:val="22"/>
          <w:szCs w:val="22"/>
        </w:rPr>
        <w:t>US i</w:t>
      </w:r>
      <w:r w:rsidR="00804998" w:rsidRPr="00DA3867">
        <w:rPr>
          <w:rFonts w:ascii="Times New Roman" w:hAnsi="Times New Roman" w:cs="Times New Roman"/>
          <w:sz w:val="22"/>
          <w:szCs w:val="22"/>
        </w:rPr>
        <w:t xml:space="preserve">nvestors also </w:t>
      </w:r>
      <w:r w:rsidR="00CD1030" w:rsidRPr="00DA3867">
        <w:rPr>
          <w:rFonts w:ascii="Times New Roman" w:hAnsi="Times New Roman" w:cs="Times New Roman"/>
          <w:sz w:val="22"/>
          <w:szCs w:val="22"/>
        </w:rPr>
        <w:t>found reasons for c</w:t>
      </w:r>
      <w:r w:rsidR="004A718C" w:rsidRPr="00DA3867">
        <w:rPr>
          <w:rFonts w:ascii="Times New Roman" w:hAnsi="Times New Roman" w:cs="Times New Roman"/>
          <w:sz w:val="22"/>
          <w:szCs w:val="22"/>
        </w:rPr>
        <w:t>oncern</w:t>
      </w:r>
      <w:r w:rsidR="00CD1030" w:rsidRPr="00DA3867">
        <w:rPr>
          <w:rFonts w:ascii="Times New Roman" w:hAnsi="Times New Roman" w:cs="Times New Roman"/>
          <w:sz w:val="22"/>
          <w:szCs w:val="22"/>
        </w:rPr>
        <w:t xml:space="preserve"> in </w:t>
      </w:r>
      <w:r w:rsidR="00804998" w:rsidRPr="00DA3867">
        <w:rPr>
          <w:rFonts w:ascii="Times New Roman" w:hAnsi="Times New Roman" w:cs="Times New Roman"/>
          <w:sz w:val="22"/>
          <w:szCs w:val="22"/>
        </w:rPr>
        <w:t xml:space="preserve">sagging consumer sentiment </w:t>
      </w:r>
      <w:r w:rsidR="004A718C" w:rsidRPr="00DA3867">
        <w:rPr>
          <w:rFonts w:ascii="Times New Roman" w:hAnsi="Times New Roman" w:cs="Times New Roman"/>
          <w:sz w:val="22"/>
          <w:szCs w:val="22"/>
        </w:rPr>
        <w:t>and</w:t>
      </w:r>
      <w:r w:rsidR="005D3A23" w:rsidRPr="00DA3867">
        <w:rPr>
          <w:rFonts w:ascii="Times New Roman" w:hAnsi="Times New Roman" w:cs="Times New Roman"/>
          <w:sz w:val="22"/>
          <w:szCs w:val="22"/>
        </w:rPr>
        <w:t xml:space="preserve"> </w:t>
      </w:r>
      <w:r w:rsidR="00810D11" w:rsidRPr="00DA3867">
        <w:rPr>
          <w:rFonts w:ascii="Times New Roman" w:hAnsi="Times New Roman" w:cs="Times New Roman"/>
          <w:sz w:val="22"/>
          <w:szCs w:val="22"/>
        </w:rPr>
        <w:t xml:space="preserve">growing </w:t>
      </w:r>
      <w:r w:rsidR="004A718C" w:rsidRPr="00DA3867">
        <w:rPr>
          <w:rFonts w:ascii="Times New Roman" w:hAnsi="Times New Roman" w:cs="Times New Roman"/>
          <w:sz w:val="22"/>
          <w:szCs w:val="22"/>
        </w:rPr>
        <w:t xml:space="preserve">unease </w:t>
      </w:r>
      <w:r w:rsidR="00810D11" w:rsidRPr="00DA3867">
        <w:rPr>
          <w:rFonts w:ascii="Times New Roman" w:hAnsi="Times New Roman" w:cs="Times New Roman"/>
          <w:sz w:val="22"/>
          <w:szCs w:val="22"/>
        </w:rPr>
        <w:t xml:space="preserve">that </w:t>
      </w:r>
      <w:r w:rsidR="00804998" w:rsidRPr="00DA3867">
        <w:rPr>
          <w:rFonts w:ascii="Times New Roman" w:hAnsi="Times New Roman" w:cs="Times New Roman"/>
          <w:sz w:val="22"/>
          <w:szCs w:val="22"/>
        </w:rPr>
        <w:t xml:space="preserve">tariffs </w:t>
      </w:r>
      <w:r w:rsidR="00810D11" w:rsidRPr="00DA3867">
        <w:rPr>
          <w:rFonts w:ascii="Times New Roman" w:hAnsi="Times New Roman" w:cs="Times New Roman"/>
          <w:sz w:val="22"/>
          <w:szCs w:val="22"/>
        </w:rPr>
        <w:t xml:space="preserve">could </w:t>
      </w:r>
      <w:r w:rsidR="005D3A23" w:rsidRPr="00DA3867">
        <w:rPr>
          <w:rFonts w:ascii="Times New Roman" w:hAnsi="Times New Roman" w:cs="Times New Roman"/>
          <w:sz w:val="22"/>
          <w:szCs w:val="22"/>
        </w:rPr>
        <w:t>stoke</w:t>
      </w:r>
      <w:r w:rsidR="00810D11" w:rsidRPr="00DA3867">
        <w:rPr>
          <w:rFonts w:ascii="Times New Roman" w:hAnsi="Times New Roman" w:cs="Times New Roman"/>
          <w:sz w:val="22"/>
          <w:szCs w:val="22"/>
        </w:rPr>
        <w:t xml:space="preserve"> i</w:t>
      </w:r>
      <w:r w:rsidR="00804998" w:rsidRPr="00DA3867">
        <w:rPr>
          <w:rFonts w:ascii="Times New Roman" w:hAnsi="Times New Roman" w:cs="Times New Roman"/>
          <w:sz w:val="22"/>
          <w:szCs w:val="22"/>
        </w:rPr>
        <w:t>nflationary pressures</w:t>
      </w:r>
      <w:r w:rsidR="005D3A23" w:rsidRPr="00DA3867">
        <w:rPr>
          <w:rFonts w:ascii="Times New Roman" w:hAnsi="Times New Roman" w:cs="Times New Roman"/>
          <w:sz w:val="22"/>
          <w:szCs w:val="22"/>
        </w:rPr>
        <w:t xml:space="preserve"> and </w:t>
      </w:r>
      <w:r w:rsidR="00C173A3" w:rsidRPr="00DA3867">
        <w:rPr>
          <w:rFonts w:ascii="Times New Roman" w:hAnsi="Times New Roman" w:cs="Times New Roman"/>
          <w:sz w:val="22"/>
          <w:szCs w:val="22"/>
        </w:rPr>
        <w:t>spur</w:t>
      </w:r>
      <w:r w:rsidR="005D3A23" w:rsidRPr="00DA3867">
        <w:rPr>
          <w:rFonts w:ascii="Times New Roman" w:hAnsi="Times New Roman" w:cs="Times New Roman"/>
          <w:sz w:val="22"/>
          <w:szCs w:val="22"/>
        </w:rPr>
        <w:t xml:space="preserve"> broader trade wars.</w:t>
      </w:r>
      <w:r w:rsidR="00804998" w:rsidRPr="00DA3867">
        <w:rPr>
          <w:rFonts w:ascii="Times New Roman" w:hAnsi="Times New Roman" w:cs="Times New Roman"/>
          <w:sz w:val="22"/>
          <w:szCs w:val="22"/>
        </w:rPr>
        <w:t xml:space="preserve"> </w:t>
      </w:r>
      <w:r w:rsidR="00CD1030" w:rsidRPr="00DA3867">
        <w:rPr>
          <w:rFonts w:ascii="Times New Roman" w:hAnsi="Times New Roman" w:cs="Times New Roman"/>
          <w:sz w:val="22"/>
          <w:szCs w:val="22"/>
        </w:rPr>
        <w:t xml:space="preserve">By quarter end </w:t>
      </w:r>
      <w:r w:rsidR="009C737E" w:rsidRPr="00DA3867">
        <w:rPr>
          <w:rFonts w:ascii="Times New Roman" w:hAnsi="Times New Roman" w:cs="Times New Roman"/>
          <w:sz w:val="22"/>
          <w:szCs w:val="22"/>
        </w:rPr>
        <w:t>US</w:t>
      </w:r>
      <w:r w:rsidR="00E50D66" w:rsidRPr="00DA3867">
        <w:rPr>
          <w:rFonts w:ascii="Times New Roman" w:hAnsi="Times New Roman" w:cs="Times New Roman"/>
          <w:sz w:val="22"/>
          <w:szCs w:val="22"/>
        </w:rPr>
        <w:t xml:space="preserve"> indices </w:t>
      </w:r>
      <w:r w:rsidR="004A718C" w:rsidRPr="00DA3867">
        <w:rPr>
          <w:rFonts w:ascii="Times New Roman" w:hAnsi="Times New Roman" w:cs="Times New Roman"/>
          <w:sz w:val="22"/>
          <w:szCs w:val="22"/>
        </w:rPr>
        <w:t>were down</w:t>
      </w:r>
      <w:r w:rsidR="00E50D66" w:rsidRPr="00DA3867">
        <w:rPr>
          <w:rFonts w:ascii="Times New Roman" w:hAnsi="Times New Roman" w:cs="Times New Roman"/>
          <w:sz w:val="22"/>
          <w:szCs w:val="22"/>
        </w:rPr>
        <w:t xml:space="preserve">, with technology shares </w:t>
      </w:r>
      <w:r w:rsidR="00C173A3" w:rsidRPr="00DA3867">
        <w:rPr>
          <w:rFonts w:ascii="Times New Roman" w:hAnsi="Times New Roman" w:cs="Times New Roman"/>
          <w:sz w:val="22"/>
          <w:szCs w:val="22"/>
        </w:rPr>
        <w:t>leading the way.</w:t>
      </w:r>
      <w:r w:rsidR="00E50D66" w:rsidRPr="00DA3867">
        <w:rPr>
          <w:rFonts w:ascii="Times New Roman" w:hAnsi="Times New Roman" w:cs="Times New Roman"/>
          <w:sz w:val="22"/>
          <w:szCs w:val="22"/>
        </w:rPr>
        <w:t xml:space="preserve"> </w:t>
      </w:r>
      <w:r w:rsidR="00810D11" w:rsidRPr="00A36A06">
        <w:rPr>
          <w:rFonts w:ascii="Times New Roman" w:hAnsi="Times New Roman" w:cs="Times New Roman"/>
          <w:sz w:val="22"/>
          <w:szCs w:val="22"/>
        </w:rPr>
        <w:t xml:space="preserve">Canadian </w:t>
      </w:r>
      <w:r w:rsidR="00E50D66" w:rsidRPr="00A36A06">
        <w:rPr>
          <w:rFonts w:ascii="Times New Roman" w:hAnsi="Times New Roman" w:cs="Times New Roman"/>
          <w:sz w:val="22"/>
          <w:szCs w:val="22"/>
        </w:rPr>
        <w:t xml:space="preserve">equities ended essentially flat </w:t>
      </w:r>
      <w:r w:rsidR="00804998" w:rsidRPr="00A36A06">
        <w:rPr>
          <w:rFonts w:ascii="Times New Roman" w:hAnsi="Times New Roman" w:cs="Times New Roman"/>
          <w:sz w:val="22"/>
          <w:szCs w:val="22"/>
        </w:rPr>
        <w:t xml:space="preserve">but </w:t>
      </w:r>
      <w:r w:rsidR="00804998" w:rsidRPr="00DA3867">
        <w:rPr>
          <w:rFonts w:ascii="Times New Roman" w:hAnsi="Times New Roman" w:cs="Times New Roman"/>
          <w:sz w:val="22"/>
          <w:szCs w:val="22"/>
        </w:rPr>
        <w:t xml:space="preserve">European </w:t>
      </w:r>
      <w:r w:rsidR="007667D6" w:rsidRPr="00DA3867">
        <w:rPr>
          <w:rFonts w:ascii="Times New Roman" w:hAnsi="Times New Roman" w:cs="Times New Roman"/>
          <w:sz w:val="22"/>
          <w:szCs w:val="22"/>
        </w:rPr>
        <w:t>indices</w:t>
      </w:r>
      <w:r w:rsidR="00804998" w:rsidRPr="00DA3867">
        <w:rPr>
          <w:rFonts w:ascii="Times New Roman" w:hAnsi="Times New Roman" w:cs="Times New Roman"/>
          <w:sz w:val="22"/>
          <w:szCs w:val="22"/>
        </w:rPr>
        <w:t xml:space="preserve"> </w:t>
      </w:r>
      <w:r w:rsidR="00CD1030" w:rsidRPr="00DA3867">
        <w:rPr>
          <w:rFonts w:ascii="Times New Roman" w:hAnsi="Times New Roman" w:cs="Times New Roman"/>
          <w:sz w:val="22"/>
          <w:szCs w:val="22"/>
        </w:rPr>
        <w:t xml:space="preserve">posted </w:t>
      </w:r>
      <w:r w:rsidR="00E50D66" w:rsidRPr="00DA3867">
        <w:rPr>
          <w:rFonts w:ascii="Times New Roman" w:hAnsi="Times New Roman" w:cs="Times New Roman"/>
          <w:sz w:val="22"/>
          <w:szCs w:val="22"/>
        </w:rPr>
        <w:t xml:space="preserve">solid </w:t>
      </w:r>
      <w:r w:rsidR="00CD1030" w:rsidRPr="00DA3867">
        <w:rPr>
          <w:rFonts w:ascii="Times New Roman" w:hAnsi="Times New Roman" w:cs="Times New Roman"/>
          <w:sz w:val="22"/>
          <w:szCs w:val="22"/>
        </w:rPr>
        <w:t>gains</w:t>
      </w:r>
      <w:r w:rsidR="00804998" w:rsidRPr="00DA3867">
        <w:rPr>
          <w:rFonts w:ascii="Times New Roman" w:hAnsi="Times New Roman" w:cs="Times New Roman"/>
          <w:sz w:val="22"/>
          <w:szCs w:val="22"/>
        </w:rPr>
        <w:t xml:space="preserve">. </w:t>
      </w:r>
      <w:r w:rsidR="0031772B" w:rsidRPr="00DA3867">
        <w:rPr>
          <w:rFonts w:ascii="Times New Roman" w:hAnsi="Times New Roman" w:cs="Times New Roman"/>
          <w:sz w:val="22"/>
          <w:szCs w:val="22"/>
        </w:rPr>
        <w:t xml:space="preserve">Canadian and </w:t>
      </w:r>
      <w:r w:rsidR="009C737E" w:rsidRPr="00DA3867">
        <w:rPr>
          <w:rFonts w:ascii="Times New Roman" w:hAnsi="Times New Roman" w:cs="Times New Roman"/>
          <w:sz w:val="22"/>
          <w:szCs w:val="22"/>
        </w:rPr>
        <w:t>US</w:t>
      </w:r>
      <w:r w:rsidR="0031772B" w:rsidRPr="00DA3867">
        <w:rPr>
          <w:rFonts w:ascii="Times New Roman" w:hAnsi="Times New Roman" w:cs="Times New Roman"/>
          <w:sz w:val="22"/>
          <w:szCs w:val="22"/>
        </w:rPr>
        <w:t xml:space="preserve"> b</w:t>
      </w:r>
      <w:r w:rsidR="00804998" w:rsidRPr="00DA3867">
        <w:rPr>
          <w:rFonts w:ascii="Times New Roman" w:hAnsi="Times New Roman" w:cs="Times New Roman"/>
          <w:sz w:val="22"/>
          <w:szCs w:val="22"/>
        </w:rPr>
        <w:t xml:space="preserve">ond yields </w:t>
      </w:r>
      <w:r w:rsidR="00CD1030" w:rsidRPr="00DA3867">
        <w:rPr>
          <w:rFonts w:ascii="Times New Roman" w:hAnsi="Times New Roman" w:cs="Times New Roman"/>
          <w:sz w:val="22"/>
          <w:szCs w:val="22"/>
        </w:rPr>
        <w:t>fell,</w:t>
      </w:r>
      <w:r w:rsidR="00804998" w:rsidRPr="00DA3867">
        <w:rPr>
          <w:rFonts w:ascii="Times New Roman" w:hAnsi="Times New Roman" w:cs="Times New Roman"/>
          <w:sz w:val="22"/>
          <w:szCs w:val="22"/>
        </w:rPr>
        <w:t xml:space="preserve"> and gold climbed to new highs</w:t>
      </w:r>
      <w:r w:rsidR="00C173A3" w:rsidRPr="00A36A06">
        <w:rPr>
          <w:rFonts w:ascii="Times New Roman" w:hAnsi="Times New Roman" w:cs="Times New Roman"/>
          <w:sz w:val="22"/>
          <w:szCs w:val="22"/>
        </w:rPr>
        <w:t xml:space="preserve">, rising </w:t>
      </w:r>
      <w:r w:rsidR="00A36A06" w:rsidRPr="00A36A06">
        <w:rPr>
          <w:rFonts w:ascii="Times New Roman" w:hAnsi="Times New Roman" w:cs="Times New Roman"/>
          <w:sz w:val="22"/>
          <w:szCs w:val="22"/>
        </w:rPr>
        <w:t>19.20</w:t>
      </w:r>
      <w:r w:rsidR="00C173A3" w:rsidRPr="00A36A06">
        <w:rPr>
          <w:rFonts w:ascii="Times New Roman" w:hAnsi="Times New Roman" w:cs="Times New Roman"/>
          <w:sz w:val="22"/>
          <w:szCs w:val="22"/>
        </w:rPr>
        <w:t>%</w:t>
      </w:r>
      <w:r w:rsidR="00C173A3" w:rsidRPr="00DA3867">
        <w:rPr>
          <w:rFonts w:ascii="Times New Roman" w:hAnsi="Times New Roman" w:cs="Times New Roman"/>
          <w:sz w:val="22"/>
          <w:szCs w:val="22"/>
        </w:rPr>
        <w:t xml:space="preserve"> for the quarter.</w:t>
      </w:r>
      <w:r w:rsidR="007667D6" w:rsidRPr="00DA3867">
        <w:rPr>
          <w:rFonts w:ascii="Times New Roman" w:hAnsi="Times New Roman" w:cs="Times New Roman"/>
          <w:sz w:val="22"/>
          <w:szCs w:val="22"/>
        </w:rPr>
        <w:t xml:space="preserve"> </w:t>
      </w:r>
    </w:p>
    <w:p w14:paraId="583BDF11" w14:textId="716C659E" w:rsidR="007667D6" w:rsidRPr="00DA3867" w:rsidRDefault="00C760FE" w:rsidP="007667D6">
      <w:pPr>
        <w:rPr>
          <w:rFonts w:ascii="Times New Roman" w:hAnsi="Times New Roman" w:cs="Times New Roman"/>
          <w:sz w:val="22"/>
          <w:szCs w:val="22"/>
        </w:rPr>
      </w:pPr>
      <w:r w:rsidRPr="00DA3867">
        <w:rPr>
          <w:rFonts w:ascii="Times New Roman" w:hAnsi="Times New Roman" w:cs="Times New Roman"/>
          <w:sz w:val="22"/>
          <w:szCs w:val="22"/>
        </w:rPr>
        <w:t>For the quarter, t</w:t>
      </w:r>
      <w:r w:rsidR="007667D6" w:rsidRPr="007667D6">
        <w:rPr>
          <w:rFonts w:ascii="Times New Roman" w:hAnsi="Times New Roman" w:cs="Times New Roman"/>
          <w:sz w:val="22"/>
          <w:szCs w:val="22"/>
        </w:rPr>
        <w:t xml:space="preserve">he S&amp;P/TSX Composite Index </w:t>
      </w:r>
      <w:r w:rsidRPr="005E2C23">
        <w:rPr>
          <w:rFonts w:ascii="Times New Roman" w:hAnsi="Times New Roman" w:cs="Times New Roman"/>
          <w:sz w:val="22"/>
          <w:szCs w:val="22"/>
        </w:rPr>
        <w:t xml:space="preserve">ended </w:t>
      </w:r>
      <w:r w:rsidR="005E2C23" w:rsidRPr="005E2C23">
        <w:rPr>
          <w:rFonts w:ascii="Times New Roman" w:hAnsi="Times New Roman" w:cs="Times New Roman"/>
          <w:sz w:val="22"/>
          <w:szCs w:val="22"/>
        </w:rPr>
        <w:t>up 1.51%</w:t>
      </w:r>
      <w:r w:rsidR="007667D6" w:rsidRPr="005E2C23">
        <w:rPr>
          <w:rFonts w:ascii="Times New Roman" w:hAnsi="Times New Roman" w:cs="Times New Roman"/>
          <w:sz w:val="22"/>
          <w:szCs w:val="22"/>
        </w:rPr>
        <w:t xml:space="preserve">, the S&amp;P 500 Index fell </w:t>
      </w:r>
      <w:r w:rsidR="005E2C23" w:rsidRPr="005E2C23">
        <w:rPr>
          <w:rFonts w:ascii="Times New Roman" w:hAnsi="Times New Roman" w:cs="Times New Roman"/>
          <w:sz w:val="22"/>
          <w:szCs w:val="22"/>
        </w:rPr>
        <w:t>4.37%</w:t>
      </w:r>
      <w:r w:rsidR="007667D6" w:rsidRPr="005E2C23">
        <w:rPr>
          <w:rFonts w:ascii="Times New Roman" w:hAnsi="Times New Roman" w:cs="Times New Roman"/>
          <w:sz w:val="22"/>
          <w:szCs w:val="22"/>
        </w:rPr>
        <w:t xml:space="preserve"> the Nasdaq Index </w:t>
      </w:r>
      <w:r w:rsidR="00DB3AC7" w:rsidRPr="005E2C23">
        <w:rPr>
          <w:rFonts w:ascii="Times New Roman" w:hAnsi="Times New Roman" w:cs="Times New Roman"/>
          <w:sz w:val="22"/>
          <w:szCs w:val="22"/>
        </w:rPr>
        <w:t>fell</w:t>
      </w:r>
      <w:r w:rsidR="005E2C23" w:rsidRPr="005E2C23">
        <w:rPr>
          <w:rFonts w:ascii="Times New Roman" w:hAnsi="Times New Roman" w:cs="Times New Roman"/>
          <w:sz w:val="22"/>
          <w:szCs w:val="22"/>
        </w:rPr>
        <w:t xml:space="preserve"> 10.26%</w:t>
      </w:r>
      <w:r w:rsidR="007667D6" w:rsidRPr="005E2C23">
        <w:rPr>
          <w:rFonts w:ascii="Times New Roman" w:hAnsi="Times New Roman" w:cs="Times New Roman"/>
          <w:sz w:val="22"/>
          <w:szCs w:val="22"/>
        </w:rPr>
        <w:t xml:space="preserve">, the MSCI World Index </w:t>
      </w:r>
      <w:r w:rsidR="00DB3AC7" w:rsidRPr="005E2C23">
        <w:rPr>
          <w:rFonts w:ascii="Times New Roman" w:hAnsi="Times New Roman" w:cs="Times New Roman"/>
          <w:sz w:val="22"/>
          <w:szCs w:val="22"/>
        </w:rPr>
        <w:t>slipped</w:t>
      </w:r>
      <w:r w:rsidR="007667D6" w:rsidRPr="005E2C23">
        <w:rPr>
          <w:rFonts w:ascii="Times New Roman" w:hAnsi="Times New Roman" w:cs="Times New Roman"/>
          <w:sz w:val="22"/>
          <w:szCs w:val="22"/>
        </w:rPr>
        <w:t xml:space="preserve"> </w:t>
      </w:r>
      <w:r w:rsidR="005E2C23" w:rsidRPr="005E2C23">
        <w:rPr>
          <w:rFonts w:ascii="Times New Roman" w:hAnsi="Times New Roman" w:cs="Times New Roman"/>
          <w:sz w:val="22"/>
          <w:szCs w:val="22"/>
        </w:rPr>
        <w:t>2.67%</w:t>
      </w:r>
      <w:r w:rsidR="007667D6" w:rsidRPr="005E2C23">
        <w:rPr>
          <w:rFonts w:ascii="Times New Roman" w:hAnsi="Times New Roman" w:cs="Times New Roman"/>
          <w:sz w:val="22"/>
          <w:szCs w:val="22"/>
        </w:rPr>
        <w:t xml:space="preserve"> </w:t>
      </w:r>
      <w:r w:rsidR="00C504DE" w:rsidRPr="005E2C23">
        <w:rPr>
          <w:rFonts w:ascii="Times New Roman" w:hAnsi="Times New Roman" w:cs="Times New Roman"/>
          <w:sz w:val="22"/>
          <w:szCs w:val="22"/>
        </w:rPr>
        <w:t>but</w:t>
      </w:r>
      <w:r w:rsidR="007667D6" w:rsidRPr="007667D6">
        <w:rPr>
          <w:rFonts w:ascii="Times New Roman" w:hAnsi="Times New Roman" w:cs="Times New Roman"/>
          <w:sz w:val="22"/>
          <w:szCs w:val="22"/>
        </w:rPr>
        <w:t xml:space="preserve"> the MSCI EAFE Index </w:t>
      </w:r>
      <w:r w:rsidR="00DB3AC7" w:rsidRPr="005E2C23">
        <w:rPr>
          <w:rFonts w:ascii="Times New Roman" w:hAnsi="Times New Roman" w:cs="Times New Roman"/>
          <w:sz w:val="22"/>
          <w:szCs w:val="22"/>
        </w:rPr>
        <w:t>rose</w:t>
      </w:r>
      <w:r w:rsidR="007667D6" w:rsidRPr="005E2C23">
        <w:rPr>
          <w:rFonts w:ascii="Times New Roman" w:hAnsi="Times New Roman" w:cs="Times New Roman"/>
          <w:sz w:val="22"/>
          <w:szCs w:val="22"/>
        </w:rPr>
        <w:t xml:space="preserve"> </w:t>
      </w:r>
      <w:r w:rsidR="005E2C23" w:rsidRPr="005E2C23">
        <w:rPr>
          <w:rFonts w:ascii="Times New Roman" w:hAnsi="Times New Roman" w:cs="Times New Roman"/>
          <w:sz w:val="22"/>
          <w:szCs w:val="22"/>
        </w:rPr>
        <w:t>2.89%</w:t>
      </w:r>
      <w:r w:rsidR="007667D6" w:rsidRPr="005E2C23">
        <w:rPr>
          <w:rFonts w:ascii="Times New Roman" w:hAnsi="Times New Roman" w:cs="Times New Roman"/>
          <w:sz w:val="22"/>
          <w:szCs w:val="22"/>
        </w:rPr>
        <w:t>.</w:t>
      </w:r>
      <w:r w:rsidR="007667D6" w:rsidRPr="007667D6">
        <w:rPr>
          <w:rFonts w:ascii="Times New Roman" w:hAnsi="Times New Roman" w:cs="Times New Roman"/>
          <w:sz w:val="22"/>
          <w:szCs w:val="22"/>
        </w:rPr>
        <w:t xml:space="preserve"> </w:t>
      </w:r>
      <w:r w:rsidR="00DB3AC7" w:rsidRPr="00DA3867">
        <w:rPr>
          <w:rFonts w:ascii="Times New Roman" w:hAnsi="Times New Roman" w:cs="Times New Roman"/>
          <w:sz w:val="22"/>
          <w:szCs w:val="22"/>
        </w:rPr>
        <w:t xml:space="preserve">In the U.K., the FTSE 100 Index </w:t>
      </w:r>
      <w:r w:rsidR="00DB3AC7" w:rsidRPr="00874761">
        <w:rPr>
          <w:rFonts w:ascii="Times New Roman" w:hAnsi="Times New Roman" w:cs="Times New Roman"/>
          <w:sz w:val="22"/>
          <w:szCs w:val="22"/>
        </w:rPr>
        <w:t xml:space="preserve">rose </w:t>
      </w:r>
      <w:r w:rsidR="00874761" w:rsidRPr="00874761">
        <w:rPr>
          <w:rFonts w:ascii="Times New Roman" w:hAnsi="Times New Roman" w:cs="Times New Roman"/>
          <w:sz w:val="22"/>
          <w:szCs w:val="22"/>
        </w:rPr>
        <w:t>6.11%</w:t>
      </w:r>
      <w:r w:rsidR="00C504DE" w:rsidRPr="00DA3867">
        <w:rPr>
          <w:rFonts w:ascii="Times New Roman" w:hAnsi="Times New Roman" w:cs="Times New Roman"/>
          <w:sz w:val="22"/>
          <w:szCs w:val="22"/>
        </w:rPr>
        <w:t xml:space="preserve"> and</w:t>
      </w:r>
      <w:r w:rsidR="00DB3AC7" w:rsidRPr="00DA3867">
        <w:rPr>
          <w:rFonts w:ascii="Times New Roman" w:hAnsi="Times New Roman" w:cs="Times New Roman"/>
          <w:sz w:val="22"/>
          <w:szCs w:val="22"/>
        </w:rPr>
        <w:t xml:space="preserve"> Germany’s DAX Index </w:t>
      </w:r>
      <w:r w:rsidR="00DB3AC7" w:rsidRPr="00874761">
        <w:rPr>
          <w:rFonts w:ascii="Times New Roman" w:hAnsi="Times New Roman" w:cs="Times New Roman"/>
          <w:sz w:val="22"/>
          <w:szCs w:val="22"/>
        </w:rPr>
        <w:t xml:space="preserve">soared </w:t>
      </w:r>
      <w:r w:rsidR="00874761" w:rsidRPr="00874761">
        <w:rPr>
          <w:rFonts w:ascii="Times New Roman" w:hAnsi="Times New Roman" w:cs="Times New Roman"/>
          <w:sz w:val="22"/>
          <w:szCs w:val="22"/>
        </w:rPr>
        <w:t>11.32%</w:t>
      </w:r>
      <w:r w:rsidR="00DB3AC7" w:rsidRPr="00874761">
        <w:rPr>
          <w:rFonts w:ascii="Times New Roman" w:hAnsi="Times New Roman" w:cs="Times New Roman"/>
          <w:sz w:val="22"/>
          <w:szCs w:val="22"/>
        </w:rPr>
        <w:t>.</w:t>
      </w:r>
      <w:r w:rsidR="00DB3AC7" w:rsidRPr="00DA3867">
        <w:rPr>
          <w:rFonts w:ascii="Times New Roman" w:hAnsi="Times New Roman" w:cs="Times New Roman"/>
          <w:sz w:val="22"/>
          <w:szCs w:val="22"/>
        </w:rPr>
        <w:t xml:space="preserve"> </w:t>
      </w:r>
      <w:r w:rsidR="0001190C" w:rsidRPr="00DA3867">
        <w:rPr>
          <w:rFonts w:ascii="Times New Roman" w:hAnsi="Times New Roman" w:cs="Times New Roman"/>
          <w:sz w:val="22"/>
          <w:szCs w:val="22"/>
        </w:rPr>
        <w:t>I</w:t>
      </w:r>
      <w:r w:rsidR="00C504DE" w:rsidRPr="00DA3867">
        <w:rPr>
          <w:rFonts w:ascii="Times New Roman" w:hAnsi="Times New Roman" w:cs="Times New Roman"/>
          <w:sz w:val="22"/>
          <w:szCs w:val="22"/>
        </w:rPr>
        <w:t>n</w:t>
      </w:r>
      <w:r w:rsidR="0001190C" w:rsidRPr="00DA3867">
        <w:rPr>
          <w:rFonts w:ascii="Times New Roman" w:hAnsi="Times New Roman" w:cs="Times New Roman"/>
          <w:sz w:val="22"/>
          <w:szCs w:val="22"/>
        </w:rPr>
        <w:t xml:space="preserve"> Asia, Japan’s </w:t>
      </w:r>
      <w:proofErr w:type="spellStart"/>
      <w:r w:rsidR="0001190C" w:rsidRPr="00DA3867">
        <w:rPr>
          <w:rFonts w:ascii="Times New Roman" w:hAnsi="Times New Roman" w:cs="Times New Roman"/>
          <w:sz w:val="22"/>
          <w:szCs w:val="22"/>
        </w:rPr>
        <w:t>T</w:t>
      </w:r>
      <w:r w:rsidR="00D14256" w:rsidRPr="00DA3867">
        <w:rPr>
          <w:rFonts w:ascii="Times New Roman" w:hAnsi="Times New Roman" w:cs="Times New Roman"/>
          <w:sz w:val="22"/>
          <w:szCs w:val="22"/>
        </w:rPr>
        <w:t>opix</w:t>
      </w:r>
      <w:proofErr w:type="spellEnd"/>
      <w:r w:rsidR="0001190C" w:rsidRPr="00DA3867">
        <w:rPr>
          <w:rFonts w:ascii="Times New Roman" w:hAnsi="Times New Roman" w:cs="Times New Roman"/>
          <w:sz w:val="22"/>
          <w:szCs w:val="22"/>
        </w:rPr>
        <w:t xml:space="preserve"> index </w:t>
      </w:r>
      <w:r w:rsidR="0001190C" w:rsidRPr="00874761">
        <w:rPr>
          <w:rFonts w:ascii="Times New Roman" w:hAnsi="Times New Roman" w:cs="Times New Roman"/>
          <w:sz w:val="22"/>
          <w:szCs w:val="22"/>
        </w:rPr>
        <w:t xml:space="preserve">fell </w:t>
      </w:r>
      <w:r w:rsidR="00874761" w:rsidRPr="00874761">
        <w:rPr>
          <w:rFonts w:ascii="Times New Roman" w:hAnsi="Times New Roman" w:cs="Times New Roman"/>
          <w:sz w:val="22"/>
          <w:szCs w:val="22"/>
        </w:rPr>
        <w:t>4.62%</w:t>
      </w:r>
      <w:r w:rsidR="00A36A06">
        <w:rPr>
          <w:rFonts w:ascii="Times New Roman" w:hAnsi="Times New Roman" w:cs="Times New Roman"/>
          <w:sz w:val="22"/>
          <w:szCs w:val="22"/>
        </w:rPr>
        <w:t xml:space="preserve">. </w:t>
      </w:r>
      <w:r w:rsidR="0001190C" w:rsidRPr="00DA3867">
        <w:rPr>
          <w:rFonts w:ascii="Times New Roman" w:hAnsi="Times New Roman" w:cs="Times New Roman"/>
          <w:sz w:val="22"/>
          <w:szCs w:val="22"/>
        </w:rPr>
        <w:t>Canadian</w:t>
      </w:r>
      <w:r w:rsidR="007667D6" w:rsidRPr="007667D6">
        <w:rPr>
          <w:rFonts w:ascii="Times New Roman" w:hAnsi="Times New Roman" w:cs="Times New Roman"/>
          <w:sz w:val="22"/>
          <w:szCs w:val="22"/>
        </w:rPr>
        <w:t xml:space="preserve"> and </w:t>
      </w:r>
      <w:r w:rsidR="009C737E" w:rsidRPr="00DA3867">
        <w:rPr>
          <w:rFonts w:ascii="Times New Roman" w:hAnsi="Times New Roman" w:cs="Times New Roman"/>
          <w:sz w:val="22"/>
          <w:szCs w:val="22"/>
        </w:rPr>
        <w:t>US</w:t>
      </w:r>
      <w:r w:rsidR="007667D6" w:rsidRPr="007667D6">
        <w:rPr>
          <w:rFonts w:ascii="Times New Roman" w:hAnsi="Times New Roman" w:cs="Times New Roman"/>
          <w:sz w:val="22"/>
          <w:szCs w:val="22"/>
        </w:rPr>
        <w:t xml:space="preserve"> </w:t>
      </w:r>
      <w:r w:rsidR="00CD1030" w:rsidRPr="00DA3867">
        <w:rPr>
          <w:rFonts w:ascii="Times New Roman" w:hAnsi="Times New Roman" w:cs="Times New Roman"/>
          <w:sz w:val="22"/>
          <w:szCs w:val="22"/>
        </w:rPr>
        <w:t>b</w:t>
      </w:r>
      <w:r w:rsidR="007667D6" w:rsidRPr="007667D6">
        <w:rPr>
          <w:rFonts w:ascii="Times New Roman" w:hAnsi="Times New Roman" w:cs="Times New Roman"/>
          <w:sz w:val="22"/>
          <w:szCs w:val="22"/>
        </w:rPr>
        <w:t>ond</w:t>
      </w:r>
      <w:r w:rsidR="00CD1030" w:rsidRPr="00DA3867">
        <w:rPr>
          <w:rFonts w:ascii="Times New Roman" w:hAnsi="Times New Roman" w:cs="Times New Roman"/>
          <w:sz w:val="22"/>
          <w:szCs w:val="22"/>
        </w:rPr>
        <w:t xml:space="preserve"> yields fell </w:t>
      </w:r>
      <w:r w:rsidR="007667D6" w:rsidRPr="007667D6">
        <w:rPr>
          <w:rFonts w:ascii="Times New Roman" w:hAnsi="Times New Roman" w:cs="Times New Roman"/>
          <w:sz w:val="22"/>
          <w:szCs w:val="22"/>
        </w:rPr>
        <w:t>in Q</w:t>
      </w:r>
      <w:r w:rsidR="0031772B" w:rsidRPr="00DA3867">
        <w:rPr>
          <w:rFonts w:ascii="Times New Roman" w:hAnsi="Times New Roman" w:cs="Times New Roman"/>
          <w:sz w:val="22"/>
          <w:szCs w:val="22"/>
        </w:rPr>
        <w:t xml:space="preserve">1 </w:t>
      </w:r>
      <w:r w:rsidR="007667D6" w:rsidRPr="007667D6">
        <w:rPr>
          <w:rFonts w:ascii="Times New Roman" w:hAnsi="Times New Roman" w:cs="Times New Roman"/>
          <w:sz w:val="22"/>
          <w:szCs w:val="22"/>
        </w:rPr>
        <w:t xml:space="preserve">as </w:t>
      </w:r>
      <w:r w:rsidR="00CD1030" w:rsidRPr="00DA3867">
        <w:rPr>
          <w:rFonts w:ascii="Times New Roman" w:hAnsi="Times New Roman" w:cs="Times New Roman"/>
          <w:sz w:val="22"/>
          <w:szCs w:val="22"/>
        </w:rPr>
        <w:t>prices rose</w:t>
      </w:r>
      <w:r w:rsidR="0031772B" w:rsidRPr="00DA3867">
        <w:rPr>
          <w:rFonts w:ascii="Times New Roman" w:hAnsi="Times New Roman" w:cs="Times New Roman"/>
          <w:sz w:val="22"/>
          <w:szCs w:val="22"/>
        </w:rPr>
        <w:t xml:space="preserve">, with the </w:t>
      </w:r>
      <w:r w:rsidR="007667D6" w:rsidRPr="007667D6">
        <w:rPr>
          <w:rFonts w:ascii="Times New Roman" w:hAnsi="Times New Roman" w:cs="Times New Roman"/>
          <w:sz w:val="22"/>
          <w:szCs w:val="22"/>
        </w:rPr>
        <w:t xml:space="preserve">FTSE Canada Universe Bond </w:t>
      </w:r>
      <w:r w:rsidR="007667D6" w:rsidRPr="005E2C23">
        <w:rPr>
          <w:rFonts w:ascii="Times New Roman" w:hAnsi="Times New Roman" w:cs="Times New Roman"/>
          <w:sz w:val="22"/>
          <w:szCs w:val="22"/>
        </w:rPr>
        <w:t xml:space="preserve">Index </w:t>
      </w:r>
      <w:r w:rsidR="0031772B" w:rsidRPr="005E2C23">
        <w:rPr>
          <w:rFonts w:ascii="Times New Roman" w:hAnsi="Times New Roman" w:cs="Times New Roman"/>
          <w:sz w:val="22"/>
          <w:szCs w:val="22"/>
        </w:rPr>
        <w:t xml:space="preserve">up </w:t>
      </w:r>
      <w:r w:rsidR="005E2C23" w:rsidRPr="005E2C23">
        <w:rPr>
          <w:rFonts w:ascii="Times New Roman" w:hAnsi="Times New Roman" w:cs="Times New Roman"/>
          <w:sz w:val="22"/>
          <w:szCs w:val="22"/>
        </w:rPr>
        <w:t>2.02</w:t>
      </w:r>
      <w:r w:rsidR="005E2C23">
        <w:rPr>
          <w:rFonts w:ascii="Times New Roman" w:hAnsi="Times New Roman" w:cs="Times New Roman"/>
          <w:sz w:val="22"/>
          <w:szCs w:val="22"/>
        </w:rPr>
        <w:t>%</w:t>
      </w:r>
      <w:r w:rsidR="0031772B" w:rsidRPr="00DA3867">
        <w:rPr>
          <w:rFonts w:ascii="Times New Roman" w:hAnsi="Times New Roman" w:cs="Times New Roman"/>
          <w:sz w:val="22"/>
          <w:szCs w:val="22"/>
        </w:rPr>
        <w:t xml:space="preserve"> for the quarter.</w:t>
      </w:r>
    </w:p>
    <w:p w14:paraId="10C62BE0" w14:textId="0B687AC4" w:rsidR="005061C8" w:rsidRPr="00DA3867" w:rsidRDefault="005061C8" w:rsidP="007667D6">
      <w:pPr>
        <w:rPr>
          <w:rFonts w:ascii="Times New Roman" w:hAnsi="Times New Roman" w:cs="Times New Roman"/>
          <w:sz w:val="22"/>
          <w:szCs w:val="22"/>
        </w:rPr>
      </w:pPr>
      <w:r w:rsidRPr="00DA3867">
        <w:rPr>
          <w:rFonts w:ascii="Times New Roman" w:hAnsi="Times New Roman" w:cs="Times New Roman"/>
          <w:sz w:val="22"/>
          <w:szCs w:val="22"/>
        </w:rPr>
        <w:t xml:space="preserve">Despite </w:t>
      </w:r>
      <w:r w:rsidR="00CD1030" w:rsidRPr="00DA3867">
        <w:rPr>
          <w:rFonts w:ascii="Times New Roman" w:hAnsi="Times New Roman" w:cs="Times New Roman"/>
          <w:sz w:val="22"/>
          <w:szCs w:val="22"/>
        </w:rPr>
        <w:t xml:space="preserve">the </w:t>
      </w:r>
      <w:r w:rsidR="0067476A" w:rsidRPr="00DA3867">
        <w:rPr>
          <w:rFonts w:ascii="Times New Roman" w:hAnsi="Times New Roman" w:cs="Times New Roman"/>
          <w:sz w:val="22"/>
          <w:szCs w:val="22"/>
        </w:rPr>
        <w:t>downbeat</w:t>
      </w:r>
      <w:r w:rsidR="00C760FE" w:rsidRPr="00DA3867">
        <w:rPr>
          <w:rFonts w:ascii="Times New Roman" w:hAnsi="Times New Roman" w:cs="Times New Roman"/>
          <w:sz w:val="22"/>
          <w:szCs w:val="22"/>
        </w:rPr>
        <w:t xml:space="preserve"> </w:t>
      </w:r>
      <w:r w:rsidRPr="00DA3867">
        <w:rPr>
          <w:rFonts w:ascii="Times New Roman" w:hAnsi="Times New Roman" w:cs="Times New Roman"/>
          <w:sz w:val="22"/>
          <w:szCs w:val="22"/>
        </w:rPr>
        <w:t>quarter North American stocks remained in positive territory on a rolling 12-month basis</w:t>
      </w:r>
      <w:r w:rsidR="004E2F82" w:rsidRPr="00DA3867">
        <w:rPr>
          <w:rFonts w:ascii="Times New Roman" w:hAnsi="Times New Roman" w:cs="Times New Roman"/>
          <w:sz w:val="22"/>
          <w:szCs w:val="22"/>
        </w:rPr>
        <w:t xml:space="preserve"> to March 31.</w:t>
      </w:r>
      <w:r w:rsidRPr="00DA3867">
        <w:rPr>
          <w:rFonts w:ascii="Times New Roman" w:hAnsi="Times New Roman" w:cs="Times New Roman"/>
          <w:sz w:val="22"/>
          <w:szCs w:val="22"/>
        </w:rPr>
        <w:t xml:space="preserve"> </w:t>
      </w:r>
      <w:r w:rsidR="00C760FE" w:rsidRPr="00DA3867">
        <w:rPr>
          <w:rFonts w:ascii="Times New Roman" w:hAnsi="Times New Roman" w:cs="Times New Roman"/>
          <w:sz w:val="22"/>
          <w:szCs w:val="22"/>
        </w:rPr>
        <w:t>And i</w:t>
      </w:r>
      <w:r w:rsidRPr="00DA3867">
        <w:rPr>
          <w:rFonts w:ascii="Times New Roman" w:hAnsi="Times New Roman" w:cs="Times New Roman"/>
          <w:sz w:val="22"/>
          <w:szCs w:val="22"/>
        </w:rPr>
        <w:t xml:space="preserve">n a reversal of a familiar trend, Canada outperformed, </w:t>
      </w:r>
      <w:r w:rsidR="00991D50" w:rsidRPr="00DA3867">
        <w:rPr>
          <w:rFonts w:ascii="Times New Roman" w:hAnsi="Times New Roman" w:cs="Times New Roman"/>
          <w:sz w:val="22"/>
          <w:szCs w:val="22"/>
        </w:rPr>
        <w:t>as</w:t>
      </w:r>
      <w:r w:rsidRPr="00DA3867">
        <w:rPr>
          <w:rFonts w:ascii="Times New Roman" w:hAnsi="Times New Roman" w:cs="Times New Roman"/>
          <w:sz w:val="22"/>
          <w:szCs w:val="22"/>
        </w:rPr>
        <w:t xml:space="preserve"> the S&amp;P/TSX </w:t>
      </w:r>
      <w:r w:rsidR="00F07283" w:rsidRPr="00DA3867">
        <w:rPr>
          <w:rFonts w:ascii="Times New Roman" w:hAnsi="Times New Roman" w:cs="Times New Roman"/>
          <w:sz w:val="22"/>
          <w:szCs w:val="22"/>
        </w:rPr>
        <w:t>Composite Index more than doubl</w:t>
      </w:r>
      <w:r w:rsidR="00C760FE" w:rsidRPr="00DA3867">
        <w:rPr>
          <w:rFonts w:ascii="Times New Roman" w:hAnsi="Times New Roman" w:cs="Times New Roman"/>
          <w:sz w:val="22"/>
          <w:szCs w:val="22"/>
        </w:rPr>
        <w:t>ed</w:t>
      </w:r>
      <w:r w:rsidR="00F07283" w:rsidRPr="00DA3867">
        <w:rPr>
          <w:rFonts w:ascii="Times New Roman" w:hAnsi="Times New Roman" w:cs="Times New Roman"/>
          <w:sz w:val="22"/>
          <w:szCs w:val="22"/>
        </w:rPr>
        <w:t xml:space="preserve"> the S&amp;P 500</w:t>
      </w:r>
      <w:r w:rsidR="00C760FE" w:rsidRPr="00DA3867">
        <w:rPr>
          <w:rFonts w:ascii="Times New Roman" w:hAnsi="Times New Roman" w:cs="Times New Roman"/>
          <w:sz w:val="22"/>
          <w:szCs w:val="22"/>
        </w:rPr>
        <w:t>’s gain</w:t>
      </w:r>
      <w:r w:rsidR="00F07283" w:rsidRPr="00DA3867">
        <w:rPr>
          <w:rFonts w:ascii="Times New Roman" w:hAnsi="Times New Roman" w:cs="Times New Roman"/>
          <w:sz w:val="22"/>
          <w:szCs w:val="22"/>
        </w:rPr>
        <w:t xml:space="preserve"> for the 12-month period.</w:t>
      </w:r>
      <w:r w:rsidR="00C760FE" w:rsidRPr="00DA3867">
        <w:rPr>
          <w:rFonts w:ascii="Times New Roman" w:hAnsi="Times New Roman" w:cs="Times New Roman"/>
          <w:sz w:val="22"/>
          <w:szCs w:val="22"/>
        </w:rPr>
        <w:t xml:space="preserve"> </w:t>
      </w:r>
      <w:r w:rsidR="00E50D66" w:rsidRPr="00DA3867">
        <w:rPr>
          <w:rFonts w:ascii="Times New Roman" w:hAnsi="Times New Roman" w:cs="Times New Roman"/>
          <w:sz w:val="22"/>
          <w:szCs w:val="22"/>
        </w:rPr>
        <w:t xml:space="preserve">It </w:t>
      </w:r>
      <w:r w:rsidR="00C760FE" w:rsidRPr="00DA3867">
        <w:rPr>
          <w:rFonts w:ascii="Times New Roman" w:hAnsi="Times New Roman" w:cs="Times New Roman"/>
          <w:sz w:val="22"/>
          <w:szCs w:val="22"/>
        </w:rPr>
        <w:t>also outperformed the S&amp;P 500 in March.</w:t>
      </w:r>
    </w:p>
    <w:p w14:paraId="70CB445E" w14:textId="0CBE2A62" w:rsidR="00A55107" w:rsidRPr="00DA3867" w:rsidRDefault="00A55107" w:rsidP="007667D6">
      <w:pPr>
        <w:rPr>
          <w:rFonts w:ascii="Times New Roman" w:hAnsi="Times New Roman" w:cs="Times New Roman"/>
          <w:sz w:val="22"/>
          <w:szCs w:val="22"/>
        </w:rPr>
      </w:pPr>
      <w:r w:rsidRPr="00DA3867">
        <w:rPr>
          <w:rFonts w:ascii="Times New Roman" w:hAnsi="Times New Roman" w:cs="Times New Roman"/>
          <w:sz w:val="22"/>
          <w:szCs w:val="22"/>
        </w:rPr>
        <w:t>Canadian economic data released in March was mixed. GDP grew in January by 0.4%, month over month, the strongest pace in nearly a year, and one supportive of a view that the economy was gaining momentum</w:t>
      </w:r>
      <w:r w:rsidR="00C173A3" w:rsidRPr="00DA3867">
        <w:rPr>
          <w:rFonts w:ascii="Times New Roman" w:hAnsi="Times New Roman" w:cs="Times New Roman"/>
          <w:sz w:val="22"/>
          <w:szCs w:val="22"/>
        </w:rPr>
        <w:t xml:space="preserve"> fueled by </w:t>
      </w:r>
      <w:r w:rsidR="003C0494" w:rsidRPr="00DA3867">
        <w:rPr>
          <w:rFonts w:ascii="Times New Roman" w:hAnsi="Times New Roman" w:cs="Times New Roman"/>
          <w:sz w:val="22"/>
          <w:szCs w:val="22"/>
        </w:rPr>
        <w:t>seven straight rate cuts by t</w:t>
      </w:r>
      <w:r w:rsidRPr="00DA3867">
        <w:rPr>
          <w:rFonts w:ascii="Times New Roman" w:hAnsi="Times New Roman" w:cs="Times New Roman"/>
          <w:sz w:val="22"/>
          <w:szCs w:val="22"/>
        </w:rPr>
        <w:t xml:space="preserve">he Bank of Canada (BoC) </w:t>
      </w:r>
      <w:r w:rsidR="003C0494" w:rsidRPr="00DA3867">
        <w:rPr>
          <w:rFonts w:ascii="Times New Roman" w:hAnsi="Times New Roman" w:cs="Times New Roman"/>
          <w:sz w:val="22"/>
          <w:szCs w:val="22"/>
        </w:rPr>
        <w:t>since mid-2024</w:t>
      </w:r>
      <w:r w:rsidRPr="00DA3867">
        <w:rPr>
          <w:rFonts w:ascii="Times New Roman" w:hAnsi="Times New Roman" w:cs="Times New Roman"/>
          <w:sz w:val="22"/>
          <w:szCs w:val="22"/>
        </w:rPr>
        <w:t xml:space="preserve">. Yet Statistics Canada’s early estimate for February </w:t>
      </w:r>
      <w:r w:rsidR="00C173A3" w:rsidRPr="00DA3867">
        <w:rPr>
          <w:rFonts w:ascii="Times New Roman" w:hAnsi="Times New Roman" w:cs="Times New Roman"/>
          <w:sz w:val="22"/>
          <w:szCs w:val="22"/>
        </w:rPr>
        <w:t>suggested</w:t>
      </w:r>
      <w:r w:rsidRPr="00DA3867">
        <w:rPr>
          <w:rFonts w:ascii="Times New Roman" w:hAnsi="Times New Roman" w:cs="Times New Roman"/>
          <w:sz w:val="22"/>
          <w:szCs w:val="22"/>
        </w:rPr>
        <w:t xml:space="preserve"> growth </w:t>
      </w:r>
      <w:r w:rsidR="0077797D" w:rsidRPr="00DA3867">
        <w:rPr>
          <w:rFonts w:ascii="Times New Roman" w:hAnsi="Times New Roman" w:cs="Times New Roman"/>
          <w:sz w:val="22"/>
          <w:szCs w:val="22"/>
        </w:rPr>
        <w:t xml:space="preserve">may have </w:t>
      </w:r>
      <w:r w:rsidRPr="00DA3867">
        <w:rPr>
          <w:rFonts w:ascii="Times New Roman" w:hAnsi="Times New Roman" w:cs="Times New Roman"/>
          <w:sz w:val="22"/>
          <w:szCs w:val="22"/>
        </w:rPr>
        <w:t xml:space="preserve">slowed significantly as businesses and consumers began </w:t>
      </w:r>
      <w:r w:rsidR="004A718C" w:rsidRPr="00DA3867">
        <w:rPr>
          <w:rFonts w:ascii="Times New Roman" w:hAnsi="Times New Roman" w:cs="Times New Roman"/>
          <w:sz w:val="22"/>
          <w:szCs w:val="22"/>
        </w:rPr>
        <w:t xml:space="preserve">bracing </w:t>
      </w:r>
      <w:r w:rsidRPr="00DA3867">
        <w:rPr>
          <w:rFonts w:ascii="Times New Roman" w:hAnsi="Times New Roman" w:cs="Times New Roman"/>
          <w:sz w:val="22"/>
          <w:szCs w:val="22"/>
        </w:rPr>
        <w:t xml:space="preserve">for the potential impact of </w:t>
      </w:r>
      <w:r w:rsidR="009C737E" w:rsidRPr="00DA3867">
        <w:rPr>
          <w:rFonts w:ascii="Times New Roman" w:hAnsi="Times New Roman" w:cs="Times New Roman"/>
          <w:sz w:val="22"/>
          <w:szCs w:val="22"/>
        </w:rPr>
        <w:t>US</w:t>
      </w:r>
      <w:r w:rsidRPr="00DA3867">
        <w:rPr>
          <w:rFonts w:ascii="Times New Roman" w:hAnsi="Times New Roman" w:cs="Times New Roman"/>
          <w:sz w:val="22"/>
          <w:szCs w:val="22"/>
        </w:rPr>
        <w:t xml:space="preserve"> tariffs.</w:t>
      </w:r>
    </w:p>
    <w:p w14:paraId="1CE57BBF" w14:textId="1970B585" w:rsidR="003C0494" w:rsidRPr="00DA3867" w:rsidRDefault="00A55107" w:rsidP="00771AC5">
      <w:pPr>
        <w:rPr>
          <w:rFonts w:ascii="Times New Roman" w:hAnsi="Times New Roman" w:cs="Times New Roman"/>
          <w:sz w:val="22"/>
          <w:szCs w:val="22"/>
        </w:rPr>
      </w:pPr>
      <w:r w:rsidRPr="00A55107">
        <w:rPr>
          <w:rFonts w:ascii="Times New Roman" w:hAnsi="Times New Roman" w:cs="Times New Roman"/>
          <w:sz w:val="22"/>
          <w:szCs w:val="22"/>
        </w:rPr>
        <w:t xml:space="preserve">The unemployment rate was unchanged </w:t>
      </w:r>
      <w:r w:rsidR="00771AC5" w:rsidRPr="00DA3867">
        <w:rPr>
          <w:rFonts w:ascii="Times New Roman" w:hAnsi="Times New Roman" w:cs="Times New Roman"/>
          <w:sz w:val="22"/>
          <w:szCs w:val="22"/>
        </w:rPr>
        <w:t xml:space="preserve">in February </w:t>
      </w:r>
      <w:r w:rsidRPr="00A55107">
        <w:rPr>
          <w:rFonts w:ascii="Times New Roman" w:hAnsi="Times New Roman" w:cs="Times New Roman"/>
          <w:sz w:val="22"/>
          <w:szCs w:val="22"/>
        </w:rPr>
        <w:t xml:space="preserve">at 6.6% </w:t>
      </w:r>
      <w:r w:rsidR="00771AC5" w:rsidRPr="00DA3867">
        <w:rPr>
          <w:rFonts w:ascii="Times New Roman" w:hAnsi="Times New Roman" w:cs="Times New Roman"/>
          <w:sz w:val="22"/>
          <w:szCs w:val="22"/>
        </w:rPr>
        <w:t xml:space="preserve">after dipping slightly </w:t>
      </w:r>
      <w:r w:rsidRPr="00A55107">
        <w:rPr>
          <w:rFonts w:ascii="Times New Roman" w:hAnsi="Times New Roman" w:cs="Times New Roman"/>
          <w:sz w:val="22"/>
          <w:szCs w:val="22"/>
        </w:rPr>
        <w:t>in December and January</w:t>
      </w:r>
      <w:r w:rsidR="00771AC5" w:rsidRPr="00DA3867">
        <w:rPr>
          <w:rFonts w:ascii="Times New Roman" w:hAnsi="Times New Roman" w:cs="Times New Roman"/>
          <w:sz w:val="22"/>
          <w:szCs w:val="22"/>
        </w:rPr>
        <w:t>.</w:t>
      </w:r>
      <w:r w:rsidRPr="00A55107">
        <w:rPr>
          <w:rFonts w:ascii="Times New Roman" w:hAnsi="Times New Roman" w:cs="Times New Roman"/>
          <w:sz w:val="22"/>
          <w:szCs w:val="22"/>
        </w:rPr>
        <w:t xml:space="preserve"> The rate had </w:t>
      </w:r>
      <w:r w:rsidR="00771AC5" w:rsidRPr="00DA3867">
        <w:rPr>
          <w:rFonts w:ascii="Times New Roman" w:hAnsi="Times New Roman" w:cs="Times New Roman"/>
          <w:sz w:val="22"/>
          <w:szCs w:val="22"/>
        </w:rPr>
        <w:t xml:space="preserve">risen steadily </w:t>
      </w:r>
      <w:r w:rsidRPr="00A55107">
        <w:rPr>
          <w:rFonts w:ascii="Times New Roman" w:hAnsi="Times New Roman" w:cs="Times New Roman"/>
          <w:sz w:val="22"/>
          <w:szCs w:val="22"/>
        </w:rPr>
        <w:t xml:space="preserve">from 5% in March 2023 to a recent high of 6.9% in November 2024. Average hourly wages </w:t>
      </w:r>
      <w:r w:rsidR="00771AC5" w:rsidRPr="00DA3867">
        <w:rPr>
          <w:rFonts w:ascii="Times New Roman" w:hAnsi="Times New Roman" w:cs="Times New Roman"/>
          <w:sz w:val="22"/>
          <w:szCs w:val="22"/>
        </w:rPr>
        <w:t>rose</w:t>
      </w:r>
      <w:r w:rsidRPr="00A55107">
        <w:rPr>
          <w:rFonts w:ascii="Times New Roman" w:hAnsi="Times New Roman" w:cs="Times New Roman"/>
          <w:sz w:val="22"/>
          <w:szCs w:val="22"/>
        </w:rPr>
        <w:t> 3.8</w:t>
      </w:r>
      <w:r w:rsidR="004A718C" w:rsidRPr="00DA3867">
        <w:rPr>
          <w:rFonts w:ascii="Times New Roman" w:hAnsi="Times New Roman" w:cs="Times New Roman"/>
          <w:sz w:val="22"/>
          <w:szCs w:val="22"/>
        </w:rPr>
        <w:t>%,</w:t>
      </w:r>
      <w:r w:rsidR="00771AC5" w:rsidRPr="00DA3867">
        <w:rPr>
          <w:rFonts w:ascii="Times New Roman" w:hAnsi="Times New Roman" w:cs="Times New Roman"/>
          <w:sz w:val="22"/>
          <w:szCs w:val="22"/>
        </w:rPr>
        <w:t xml:space="preserve"> year over year (YoY), in February.</w:t>
      </w:r>
      <w:r w:rsidR="004A718C" w:rsidRPr="00DA3867">
        <w:rPr>
          <w:rFonts w:ascii="Times New Roman" w:hAnsi="Times New Roman" w:cs="Times New Roman"/>
          <w:sz w:val="22"/>
          <w:szCs w:val="22"/>
        </w:rPr>
        <w:t xml:space="preserve"> </w:t>
      </w:r>
      <w:r w:rsidR="00771AC5" w:rsidRPr="00DA3867">
        <w:rPr>
          <w:rFonts w:ascii="Times New Roman" w:hAnsi="Times New Roman" w:cs="Times New Roman"/>
          <w:sz w:val="22"/>
          <w:szCs w:val="22"/>
        </w:rPr>
        <w:t xml:space="preserve">Inflation </w:t>
      </w:r>
      <w:r w:rsidR="00771AC5" w:rsidRPr="00771AC5">
        <w:rPr>
          <w:rFonts w:ascii="Times New Roman" w:hAnsi="Times New Roman" w:cs="Times New Roman"/>
          <w:sz w:val="22"/>
          <w:szCs w:val="22"/>
        </w:rPr>
        <w:t>rose 2.6%</w:t>
      </w:r>
      <w:r w:rsidR="00771AC5" w:rsidRPr="00DA3867">
        <w:rPr>
          <w:rFonts w:ascii="Times New Roman" w:hAnsi="Times New Roman" w:cs="Times New Roman"/>
          <w:sz w:val="22"/>
          <w:szCs w:val="22"/>
        </w:rPr>
        <w:t>,</w:t>
      </w:r>
      <w:r w:rsidR="00771AC5" w:rsidRPr="00771AC5">
        <w:rPr>
          <w:rFonts w:ascii="Times New Roman" w:hAnsi="Times New Roman" w:cs="Times New Roman"/>
          <w:sz w:val="22"/>
          <w:szCs w:val="22"/>
        </w:rPr>
        <w:t xml:space="preserve"> YoY</w:t>
      </w:r>
      <w:r w:rsidR="004A718C" w:rsidRPr="00DA3867">
        <w:rPr>
          <w:rFonts w:ascii="Times New Roman" w:hAnsi="Times New Roman" w:cs="Times New Roman"/>
          <w:sz w:val="22"/>
          <w:szCs w:val="22"/>
        </w:rPr>
        <w:t>,</w:t>
      </w:r>
      <w:r w:rsidR="00771AC5" w:rsidRPr="00771AC5">
        <w:rPr>
          <w:rFonts w:ascii="Times New Roman" w:hAnsi="Times New Roman" w:cs="Times New Roman"/>
          <w:sz w:val="22"/>
          <w:szCs w:val="22"/>
        </w:rPr>
        <w:t xml:space="preserve"> in </w:t>
      </w:r>
      <w:r w:rsidR="003C0494" w:rsidRPr="00DA3867">
        <w:rPr>
          <w:rFonts w:ascii="Times New Roman" w:hAnsi="Times New Roman" w:cs="Times New Roman"/>
          <w:sz w:val="22"/>
          <w:szCs w:val="22"/>
        </w:rPr>
        <w:t xml:space="preserve">February, higher than expected and </w:t>
      </w:r>
      <w:r w:rsidR="00771AC5" w:rsidRPr="00DA3867">
        <w:rPr>
          <w:rFonts w:ascii="Times New Roman" w:hAnsi="Times New Roman" w:cs="Times New Roman"/>
          <w:sz w:val="22"/>
          <w:szCs w:val="22"/>
        </w:rPr>
        <w:t xml:space="preserve">a sizeable jump from </w:t>
      </w:r>
      <w:r w:rsidR="00771AC5" w:rsidRPr="00771AC5">
        <w:rPr>
          <w:rFonts w:ascii="Times New Roman" w:hAnsi="Times New Roman" w:cs="Times New Roman"/>
          <w:sz w:val="22"/>
          <w:szCs w:val="22"/>
        </w:rPr>
        <w:t>1.9% in January</w:t>
      </w:r>
      <w:r w:rsidR="00771AC5" w:rsidRPr="00DA3867">
        <w:rPr>
          <w:rFonts w:ascii="Times New Roman" w:hAnsi="Times New Roman" w:cs="Times New Roman"/>
          <w:sz w:val="22"/>
          <w:szCs w:val="22"/>
        </w:rPr>
        <w:t xml:space="preserve"> and 1.8% in December</w:t>
      </w:r>
      <w:r w:rsidR="003C0494" w:rsidRPr="00DA3867">
        <w:rPr>
          <w:rFonts w:ascii="Times New Roman" w:hAnsi="Times New Roman" w:cs="Times New Roman"/>
          <w:sz w:val="22"/>
          <w:szCs w:val="22"/>
        </w:rPr>
        <w:t>. The rise was due in part to</w:t>
      </w:r>
      <w:r w:rsidR="00771AC5" w:rsidRPr="00771AC5">
        <w:rPr>
          <w:rFonts w:ascii="Times New Roman" w:hAnsi="Times New Roman" w:cs="Times New Roman"/>
          <w:sz w:val="22"/>
          <w:szCs w:val="22"/>
        </w:rPr>
        <w:t xml:space="preserve"> the end of the GST/HST holiday</w:t>
      </w:r>
      <w:r w:rsidR="003C0494" w:rsidRPr="00DA3867">
        <w:rPr>
          <w:rFonts w:ascii="Times New Roman" w:hAnsi="Times New Roman" w:cs="Times New Roman"/>
          <w:sz w:val="22"/>
          <w:szCs w:val="22"/>
        </w:rPr>
        <w:t>.</w:t>
      </w:r>
    </w:p>
    <w:p w14:paraId="2418CC0F" w14:textId="7BEC304A" w:rsidR="00771AC5" w:rsidRPr="00DA3867" w:rsidRDefault="003C0494" w:rsidP="00771AC5">
      <w:pPr>
        <w:rPr>
          <w:rFonts w:ascii="Times New Roman" w:hAnsi="Times New Roman" w:cs="Times New Roman"/>
          <w:sz w:val="22"/>
          <w:szCs w:val="22"/>
        </w:rPr>
      </w:pPr>
      <w:r w:rsidRPr="00DA3867">
        <w:rPr>
          <w:rFonts w:ascii="Times New Roman" w:hAnsi="Times New Roman" w:cs="Times New Roman"/>
          <w:sz w:val="22"/>
          <w:szCs w:val="22"/>
        </w:rPr>
        <w:t>The B</w:t>
      </w:r>
      <w:r w:rsidR="007C5397" w:rsidRPr="00DA3867">
        <w:rPr>
          <w:rFonts w:ascii="Times New Roman" w:hAnsi="Times New Roman" w:cs="Times New Roman"/>
          <w:sz w:val="22"/>
          <w:szCs w:val="22"/>
        </w:rPr>
        <w:t>ank of Canada</w:t>
      </w:r>
      <w:r w:rsidRPr="00DA3867">
        <w:rPr>
          <w:rFonts w:ascii="Times New Roman" w:hAnsi="Times New Roman" w:cs="Times New Roman"/>
          <w:sz w:val="22"/>
          <w:szCs w:val="22"/>
        </w:rPr>
        <w:t xml:space="preserve"> </w:t>
      </w:r>
      <w:r w:rsidR="007C5397" w:rsidRPr="00DA3867">
        <w:rPr>
          <w:rFonts w:ascii="Times New Roman" w:hAnsi="Times New Roman" w:cs="Times New Roman"/>
          <w:sz w:val="22"/>
          <w:szCs w:val="22"/>
        </w:rPr>
        <w:t xml:space="preserve">(BoC) </w:t>
      </w:r>
      <w:r w:rsidRPr="00DA3867">
        <w:rPr>
          <w:rFonts w:ascii="Times New Roman" w:hAnsi="Times New Roman" w:cs="Times New Roman"/>
          <w:sz w:val="22"/>
          <w:szCs w:val="22"/>
        </w:rPr>
        <w:t xml:space="preserve">cut rates </w:t>
      </w:r>
      <w:r w:rsidR="00635D66" w:rsidRPr="00DA3867">
        <w:rPr>
          <w:rFonts w:ascii="Times New Roman" w:hAnsi="Times New Roman" w:cs="Times New Roman"/>
          <w:sz w:val="22"/>
          <w:szCs w:val="22"/>
        </w:rPr>
        <w:t>again on March 12</w:t>
      </w:r>
      <w:r w:rsidR="00635D66" w:rsidRPr="00DA3867">
        <w:rPr>
          <w:rFonts w:ascii="Times New Roman" w:hAnsi="Times New Roman" w:cs="Times New Roman"/>
          <w:sz w:val="22"/>
          <w:szCs w:val="22"/>
          <w:vertAlign w:val="superscript"/>
        </w:rPr>
        <w:t>th</w:t>
      </w:r>
      <w:r w:rsidR="00635D66" w:rsidRPr="00DA3867">
        <w:rPr>
          <w:rFonts w:ascii="Times New Roman" w:hAnsi="Times New Roman" w:cs="Times New Roman"/>
          <w:sz w:val="22"/>
          <w:szCs w:val="22"/>
        </w:rPr>
        <w:t xml:space="preserve">, trimming its key policy rate by a quarter-point to 2.75%. </w:t>
      </w:r>
      <w:r w:rsidR="000066F7" w:rsidRPr="00DA3867">
        <w:rPr>
          <w:rFonts w:ascii="Times New Roman" w:hAnsi="Times New Roman" w:cs="Times New Roman"/>
          <w:sz w:val="22"/>
          <w:szCs w:val="22"/>
        </w:rPr>
        <w:t>However,</w:t>
      </w:r>
      <w:r w:rsidR="00635D66" w:rsidRPr="00DA3867">
        <w:rPr>
          <w:rFonts w:ascii="Times New Roman" w:hAnsi="Times New Roman" w:cs="Times New Roman"/>
          <w:sz w:val="22"/>
          <w:szCs w:val="22"/>
        </w:rPr>
        <w:t xml:space="preserve"> the bank’s summary of it</w:t>
      </w:r>
      <w:r w:rsidR="007C5397" w:rsidRPr="00DA3867">
        <w:rPr>
          <w:rFonts w:ascii="Times New Roman" w:hAnsi="Times New Roman" w:cs="Times New Roman"/>
          <w:sz w:val="22"/>
          <w:szCs w:val="22"/>
        </w:rPr>
        <w:t xml:space="preserve">s deliberations </w:t>
      </w:r>
      <w:r w:rsidR="00635D66" w:rsidRPr="00DA3867">
        <w:rPr>
          <w:rFonts w:ascii="Times New Roman" w:hAnsi="Times New Roman" w:cs="Times New Roman"/>
          <w:sz w:val="22"/>
          <w:szCs w:val="22"/>
        </w:rPr>
        <w:t xml:space="preserve">leading </w:t>
      </w:r>
      <w:r w:rsidR="008F57BC" w:rsidRPr="00DA3867">
        <w:rPr>
          <w:rFonts w:ascii="Times New Roman" w:hAnsi="Times New Roman" w:cs="Times New Roman"/>
          <w:sz w:val="22"/>
          <w:szCs w:val="22"/>
        </w:rPr>
        <w:t>to</w:t>
      </w:r>
      <w:r w:rsidR="00635D66" w:rsidRPr="00DA3867">
        <w:rPr>
          <w:rFonts w:ascii="Times New Roman" w:hAnsi="Times New Roman" w:cs="Times New Roman"/>
          <w:sz w:val="22"/>
          <w:szCs w:val="22"/>
        </w:rPr>
        <w:t xml:space="preserve"> the </w:t>
      </w:r>
      <w:r w:rsidR="007C5397" w:rsidRPr="00DA3867">
        <w:rPr>
          <w:rFonts w:ascii="Times New Roman" w:hAnsi="Times New Roman" w:cs="Times New Roman"/>
          <w:sz w:val="22"/>
          <w:szCs w:val="22"/>
        </w:rPr>
        <w:t>decision indicated</w:t>
      </w:r>
      <w:r w:rsidR="008F57BC" w:rsidRPr="00DA3867">
        <w:rPr>
          <w:rFonts w:ascii="Times New Roman" w:hAnsi="Times New Roman" w:cs="Times New Roman"/>
          <w:sz w:val="22"/>
          <w:szCs w:val="22"/>
        </w:rPr>
        <w:t xml:space="preserve"> </w:t>
      </w:r>
      <w:r w:rsidR="000066F7">
        <w:rPr>
          <w:rFonts w:ascii="Times New Roman" w:hAnsi="Times New Roman" w:cs="Times New Roman"/>
          <w:sz w:val="22"/>
          <w:szCs w:val="22"/>
        </w:rPr>
        <w:t>it</w:t>
      </w:r>
      <w:r w:rsidR="008F57BC" w:rsidRPr="00DA3867">
        <w:rPr>
          <w:rFonts w:ascii="Times New Roman" w:hAnsi="Times New Roman" w:cs="Times New Roman"/>
          <w:sz w:val="22"/>
          <w:szCs w:val="22"/>
        </w:rPr>
        <w:t xml:space="preserve"> would not have cut in the absence of the tariff threat looming over the economy. The BoC’s next rate decision will </w:t>
      </w:r>
      <w:r w:rsidR="000066F7">
        <w:rPr>
          <w:rFonts w:ascii="Times New Roman" w:hAnsi="Times New Roman" w:cs="Times New Roman"/>
          <w:sz w:val="22"/>
          <w:szCs w:val="22"/>
        </w:rPr>
        <w:t>be</w:t>
      </w:r>
      <w:r w:rsidR="008F57BC" w:rsidRPr="00DA3867">
        <w:rPr>
          <w:rFonts w:ascii="Times New Roman" w:hAnsi="Times New Roman" w:cs="Times New Roman"/>
          <w:sz w:val="22"/>
          <w:szCs w:val="22"/>
        </w:rPr>
        <w:t xml:space="preserve"> on April 16</w:t>
      </w:r>
      <w:r w:rsidR="008F57BC" w:rsidRPr="00DA3867">
        <w:rPr>
          <w:rFonts w:ascii="Times New Roman" w:hAnsi="Times New Roman" w:cs="Times New Roman"/>
          <w:sz w:val="22"/>
          <w:szCs w:val="22"/>
          <w:vertAlign w:val="superscript"/>
        </w:rPr>
        <w:t>th</w:t>
      </w:r>
      <w:r w:rsidR="008F57BC" w:rsidRPr="00DA3867">
        <w:rPr>
          <w:rFonts w:ascii="Times New Roman" w:hAnsi="Times New Roman" w:cs="Times New Roman"/>
          <w:sz w:val="22"/>
          <w:szCs w:val="22"/>
        </w:rPr>
        <w:t>.</w:t>
      </w:r>
      <w:r w:rsidR="00635D66" w:rsidRPr="00DA3867">
        <w:rPr>
          <w:rFonts w:ascii="Times New Roman" w:hAnsi="Times New Roman" w:cs="Times New Roman"/>
          <w:sz w:val="22"/>
          <w:szCs w:val="22"/>
        </w:rPr>
        <w:t> </w:t>
      </w:r>
    </w:p>
    <w:p w14:paraId="06978EF5" w14:textId="547EB963" w:rsidR="00D27E4C" w:rsidRPr="00DA3867" w:rsidRDefault="00D27E4C" w:rsidP="00D27E4C">
      <w:pPr>
        <w:rPr>
          <w:rFonts w:ascii="Times New Roman" w:hAnsi="Times New Roman" w:cs="Times New Roman"/>
          <w:sz w:val="22"/>
          <w:szCs w:val="22"/>
        </w:rPr>
      </w:pPr>
      <w:r w:rsidRPr="00DA3867">
        <w:rPr>
          <w:rFonts w:ascii="Times New Roman" w:hAnsi="Times New Roman" w:cs="Times New Roman"/>
          <w:sz w:val="22"/>
          <w:szCs w:val="22"/>
        </w:rPr>
        <w:lastRenderedPageBreak/>
        <w:t xml:space="preserve">Retail sales declined 0.6% to $69.4 billion in January, according to Statistics Canada, as sales in the auto sector fell. Core retail sales, excluding fuel sales and motor vehicle and parts dealers, dropped 0.2% in January, led by </w:t>
      </w:r>
      <w:r w:rsidRPr="00D27E4C">
        <w:rPr>
          <w:rFonts w:ascii="Times New Roman" w:hAnsi="Times New Roman" w:cs="Times New Roman"/>
          <w:sz w:val="22"/>
          <w:szCs w:val="22"/>
        </w:rPr>
        <w:t>lower sales at food and beverage retailers</w:t>
      </w:r>
      <w:r w:rsidRPr="00DA3867">
        <w:rPr>
          <w:rFonts w:ascii="Times New Roman" w:hAnsi="Times New Roman" w:cs="Times New Roman"/>
          <w:sz w:val="22"/>
          <w:szCs w:val="22"/>
        </w:rPr>
        <w:t>.</w:t>
      </w:r>
    </w:p>
    <w:p w14:paraId="206040E9" w14:textId="5E49E954" w:rsidR="0077797D" w:rsidRPr="00D26E03" w:rsidRDefault="007C5397" w:rsidP="00D26E03">
      <w:pPr>
        <w:rPr>
          <w:rFonts w:ascii="Times New Roman" w:hAnsi="Times New Roman" w:cs="Times New Roman"/>
          <w:sz w:val="22"/>
          <w:szCs w:val="22"/>
        </w:rPr>
      </w:pPr>
      <w:r w:rsidRPr="00DA3867">
        <w:rPr>
          <w:rFonts w:ascii="Times New Roman" w:hAnsi="Times New Roman" w:cs="Times New Roman"/>
          <w:sz w:val="22"/>
          <w:szCs w:val="22"/>
        </w:rPr>
        <w:t>In the US,</w:t>
      </w:r>
      <w:r w:rsidRPr="00DA3867">
        <w:rPr>
          <w:rFonts w:ascii="Times New Roman" w:hAnsi="Times New Roman" w:cs="Times New Roman"/>
          <w:b/>
          <w:bCs/>
          <w:sz w:val="22"/>
          <w:szCs w:val="22"/>
        </w:rPr>
        <w:t xml:space="preserve"> </w:t>
      </w:r>
      <w:r w:rsidR="00D26E03" w:rsidRPr="00DA3867">
        <w:rPr>
          <w:rFonts w:ascii="Times New Roman" w:hAnsi="Times New Roman" w:cs="Times New Roman"/>
          <w:sz w:val="22"/>
          <w:szCs w:val="22"/>
        </w:rPr>
        <w:t xml:space="preserve">the Commerce Department </w:t>
      </w:r>
      <w:r w:rsidRPr="00DA3867">
        <w:rPr>
          <w:rFonts w:ascii="Times New Roman" w:hAnsi="Times New Roman" w:cs="Times New Roman"/>
          <w:sz w:val="22"/>
          <w:szCs w:val="22"/>
        </w:rPr>
        <w:t xml:space="preserve">released revised </w:t>
      </w:r>
      <w:r w:rsidR="009C737E" w:rsidRPr="00DA3867">
        <w:rPr>
          <w:rFonts w:ascii="Times New Roman" w:hAnsi="Times New Roman" w:cs="Times New Roman"/>
          <w:sz w:val="22"/>
          <w:szCs w:val="22"/>
        </w:rPr>
        <w:t>US</w:t>
      </w:r>
      <w:r w:rsidR="00D26E03" w:rsidRPr="00D26E03">
        <w:rPr>
          <w:rFonts w:ascii="Times New Roman" w:hAnsi="Times New Roman" w:cs="Times New Roman"/>
          <w:sz w:val="22"/>
          <w:szCs w:val="22"/>
        </w:rPr>
        <w:t xml:space="preserve"> </w:t>
      </w:r>
      <w:r w:rsidR="00D26E03" w:rsidRPr="00DA3867">
        <w:rPr>
          <w:rFonts w:ascii="Times New Roman" w:hAnsi="Times New Roman" w:cs="Times New Roman"/>
          <w:sz w:val="22"/>
          <w:szCs w:val="22"/>
        </w:rPr>
        <w:t xml:space="preserve">GDP </w:t>
      </w:r>
      <w:r w:rsidRPr="00DA3867">
        <w:rPr>
          <w:rFonts w:ascii="Times New Roman" w:hAnsi="Times New Roman" w:cs="Times New Roman"/>
          <w:sz w:val="22"/>
          <w:szCs w:val="22"/>
        </w:rPr>
        <w:t xml:space="preserve">for Q4, 2024, up to </w:t>
      </w:r>
      <w:r w:rsidR="00C64729" w:rsidRPr="00DA3867">
        <w:rPr>
          <w:rFonts w:ascii="Times New Roman" w:hAnsi="Times New Roman" w:cs="Times New Roman"/>
          <w:sz w:val="22"/>
          <w:szCs w:val="22"/>
        </w:rPr>
        <w:t xml:space="preserve">a </w:t>
      </w:r>
      <w:r w:rsidR="00D26E03" w:rsidRPr="00DA3867">
        <w:rPr>
          <w:rFonts w:ascii="Times New Roman" w:hAnsi="Times New Roman" w:cs="Times New Roman"/>
          <w:sz w:val="22"/>
          <w:szCs w:val="22"/>
        </w:rPr>
        <w:t xml:space="preserve">2.4% </w:t>
      </w:r>
      <w:r w:rsidR="00D26E03" w:rsidRPr="00D26E03">
        <w:rPr>
          <w:rFonts w:ascii="Times New Roman" w:hAnsi="Times New Roman" w:cs="Times New Roman"/>
          <w:sz w:val="22"/>
          <w:szCs w:val="22"/>
        </w:rPr>
        <w:t xml:space="preserve">annualized </w:t>
      </w:r>
      <w:r w:rsidR="00D26E03" w:rsidRPr="00DA3867">
        <w:rPr>
          <w:rFonts w:ascii="Times New Roman" w:hAnsi="Times New Roman" w:cs="Times New Roman"/>
          <w:sz w:val="22"/>
          <w:szCs w:val="22"/>
        </w:rPr>
        <w:t>rate</w:t>
      </w:r>
      <w:r w:rsidRPr="00DA3867">
        <w:rPr>
          <w:rFonts w:ascii="Times New Roman" w:hAnsi="Times New Roman" w:cs="Times New Roman"/>
          <w:sz w:val="22"/>
          <w:szCs w:val="22"/>
        </w:rPr>
        <w:t xml:space="preserve"> </w:t>
      </w:r>
      <w:r w:rsidR="00D26E03" w:rsidRPr="00D26E03">
        <w:rPr>
          <w:rFonts w:ascii="Times New Roman" w:hAnsi="Times New Roman" w:cs="Times New Roman"/>
          <w:sz w:val="22"/>
          <w:szCs w:val="22"/>
        </w:rPr>
        <w:t xml:space="preserve">from </w:t>
      </w:r>
      <w:r w:rsidRPr="00DA3867">
        <w:rPr>
          <w:rFonts w:ascii="Times New Roman" w:hAnsi="Times New Roman" w:cs="Times New Roman"/>
          <w:sz w:val="22"/>
          <w:szCs w:val="22"/>
        </w:rPr>
        <w:t>the</w:t>
      </w:r>
      <w:r w:rsidR="00D26E03" w:rsidRPr="00D26E03">
        <w:rPr>
          <w:rFonts w:ascii="Times New Roman" w:hAnsi="Times New Roman" w:cs="Times New Roman"/>
          <w:sz w:val="22"/>
          <w:szCs w:val="22"/>
        </w:rPr>
        <w:t xml:space="preserve"> previous estimate of 2.3%. That followed growth of 3.1% in </w:t>
      </w:r>
      <w:r w:rsidR="00D26E03" w:rsidRPr="00DA3867">
        <w:rPr>
          <w:rFonts w:ascii="Times New Roman" w:hAnsi="Times New Roman" w:cs="Times New Roman"/>
          <w:sz w:val="22"/>
          <w:szCs w:val="22"/>
        </w:rPr>
        <w:t>Q3</w:t>
      </w:r>
      <w:r w:rsidR="00D26E03" w:rsidRPr="00D26E03">
        <w:rPr>
          <w:rFonts w:ascii="Times New Roman" w:hAnsi="Times New Roman" w:cs="Times New Roman"/>
          <w:sz w:val="22"/>
          <w:szCs w:val="22"/>
        </w:rPr>
        <w:t>.</w:t>
      </w:r>
      <w:r w:rsidR="00D26E03" w:rsidRPr="00DA3867">
        <w:rPr>
          <w:rFonts w:ascii="Times New Roman" w:hAnsi="Times New Roman" w:cs="Times New Roman"/>
          <w:color w:val="222222"/>
          <w:sz w:val="22"/>
          <w:szCs w:val="22"/>
          <w:shd w:val="clear" w:color="auto" w:fill="FFFFFF"/>
        </w:rPr>
        <w:t xml:space="preserve"> </w:t>
      </w:r>
      <w:r w:rsidR="00D26E03" w:rsidRPr="00DA3867">
        <w:rPr>
          <w:rFonts w:ascii="Times New Roman" w:hAnsi="Times New Roman" w:cs="Times New Roman"/>
          <w:sz w:val="22"/>
          <w:szCs w:val="22"/>
        </w:rPr>
        <w:t xml:space="preserve">The first estimate </w:t>
      </w:r>
      <w:r w:rsidR="00C64729" w:rsidRPr="00DA3867">
        <w:rPr>
          <w:rFonts w:ascii="Times New Roman" w:hAnsi="Times New Roman" w:cs="Times New Roman"/>
          <w:sz w:val="22"/>
          <w:szCs w:val="22"/>
        </w:rPr>
        <w:t>for</w:t>
      </w:r>
      <w:r w:rsidR="00D26E03" w:rsidRPr="00DA3867">
        <w:rPr>
          <w:rFonts w:ascii="Times New Roman" w:hAnsi="Times New Roman" w:cs="Times New Roman"/>
          <w:sz w:val="22"/>
          <w:szCs w:val="22"/>
        </w:rPr>
        <w:t xml:space="preserve"> Q1 2025 GDP will be released April 30</w:t>
      </w:r>
      <w:r w:rsidRPr="00DA3867">
        <w:rPr>
          <w:rFonts w:ascii="Times New Roman" w:hAnsi="Times New Roman" w:cs="Times New Roman"/>
          <w:sz w:val="22"/>
          <w:szCs w:val="22"/>
        </w:rPr>
        <w:t>,</w:t>
      </w:r>
      <w:r w:rsidR="00D26E03" w:rsidRPr="00DA3867">
        <w:rPr>
          <w:rFonts w:ascii="Times New Roman" w:hAnsi="Times New Roman" w:cs="Times New Roman"/>
          <w:sz w:val="22"/>
          <w:szCs w:val="22"/>
        </w:rPr>
        <w:t xml:space="preserve"> but current expectations are </w:t>
      </w:r>
      <w:r w:rsidR="00C64729" w:rsidRPr="00DA3867">
        <w:rPr>
          <w:rFonts w:ascii="Times New Roman" w:hAnsi="Times New Roman" w:cs="Times New Roman"/>
          <w:sz w:val="22"/>
          <w:szCs w:val="22"/>
        </w:rPr>
        <w:t xml:space="preserve">for </w:t>
      </w:r>
      <w:r w:rsidRPr="00DA3867">
        <w:rPr>
          <w:rFonts w:ascii="Times New Roman" w:hAnsi="Times New Roman" w:cs="Times New Roman"/>
          <w:sz w:val="22"/>
          <w:szCs w:val="22"/>
        </w:rPr>
        <w:t>s</w:t>
      </w:r>
      <w:r w:rsidR="00C64729" w:rsidRPr="00DA3867">
        <w:rPr>
          <w:rFonts w:ascii="Times New Roman" w:hAnsi="Times New Roman" w:cs="Times New Roman"/>
          <w:sz w:val="22"/>
          <w:szCs w:val="22"/>
        </w:rPr>
        <w:t>low</w:t>
      </w:r>
      <w:r w:rsidRPr="00DA3867">
        <w:rPr>
          <w:rFonts w:ascii="Times New Roman" w:hAnsi="Times New Roman" w:cs="Times New Roman"/>
          <w:sz w:val="22"/>
          <w:szCs w:val="22"/>
        </w:rPr>
        <w:t>er</w:t>
      </w:r>
      <w:r w:rsidR="00C64729" w:rsidRPr="00DA3867">
        <w:rPr>
          <w:rFonts w:ascii="Times New Roman" w:hAnsi="Times New Roman" w:cs="Times New Roman"/>
          <w:sz w:val="22"/>
          <w:szCs w:val="22"/>
        </w:rPr>
        <w:t xml:space="preserve"> activity </w:t>
      </w:r>
      <w:r w:rsidRPr="00DA3867">
        <w:rPr>
          <w:rFonts w:ascii="Times New Roman" w:hAnsi="Times New Roman" w:cs="Times New Roman"/>
          <w:sz w:val="22"/>
          <w:szCs w:val="22"/>
        </w:rPr>
        <w:t xml:space="preserve">in </w:t>
      </w:r>
      <w:r w:rsidR="00C64729" w:rsidRPr="00DA3867">
        <w:rPr>
          <w:rFonts w:ascii="Times New Roman" w:hAnsi="Times New Roman" w:cs="Times New Roman"/>
          <w:sz w:val="22"/>
          <w:szCs w:val="22"/>
        </w:rPr>
        <w:t xml:space="preserve">the first </w:t>
      </w:r>
      <w:r w:rsidRPr="00DA3867">
        <w:rPr>
          <w:rFonts w:ascii="Times New Roman" w:hAnsi="Times New Roman" w:cs="Times New Roman"/>
          <w:sz w:val="22"/>
          <w:szCs w:val="22"/>
        </w:rPr>
        <w:t>quarter</w:t>
      </w:r>
      <w:r w:rsidR="00C64729" w:rsidRPr="00DA3867">
        <w:rPr>
          <w:rFonts w:ascii="Times New Roman" w:hAnsi="Times New Roman" w:cs="Times New Roman"/>
          <w:sz w:val="22"/>
          <w:szCs w:val="22"/>
        </w:rPr>
        <w:t xml:space="preserve">. </w:t>
      </w:r>
      <w:r w:rsidR="0077797D" w:rsidRPr="00DA3867">
        <w:rPr>
          <w:rFonts w:ascii="Times New Roman" w:hAnsi="Times New Roman" w:cs="Times New Roman"/>
          <w:sz w:val="22"/>
          <w:szCs w:val="22"/>
        </w:rPr>
        <w:t xml:space="preserve">Inflation </w:t>
      </w:r>
      <w:r w:rsidRPr="00DA3867">
        <w:rPr>
          <w:rFonts w:ascii="Times New Roman" w:hAnsi="Times New Roman" w:cs="Times New Roman"/>
          <w:sz w:val="22"/>
          <w:szCs w:val="22"/>
        </w:rPr>
        <w:t xml:space="preserve">climbed </w:t>
      </w:r>
      <w:r w:rsidR="0077797D" w:rsidRPr="00DA3867">
        <w:rPr>
          <w:rFonts w:ascii="Times New Roman" w:hAnsi="Times New Roman" w:cs="Times New Roman"/>
          <w:sz w:val="22"/>
          <w:szCs w:val="22"/>
        </w:rPr>
        <w:t>2.8% in February from a year earlier,</w:t>
      </w:r>
      <w:r w:rsidRPr="00DA3867">
        <w:rPr>
          <w:rFonts w:ascii="Times New Roman" w:hAnsi="Times New Roman" w:cs="Times New Roman"/>
          <w:sz w:val="22"/>
          <w:szCs w:val="22"/>
        </w:rPr>
        <w:t xml:space="preserve"> slightly better than expected and </w:t>
      </w:r>
      <w:r w:rsidR="0077797D" w:rsidRPr="00DA3867">
        <w:rPr>
          <w:rFonts w:ascii="Times New Roman" w:hAnsi="Times New Roman" w:cs="Times New Roman"/>
          <w:sz w:val="22"/>
          <w:szCs w:val="22"/>
        </w:rPr>
        <w:t xml:space="preserve">down from 3% in January. Excluding food and energy, the so-called core measure that economists watch rose 3.1%, the lowest </w:t>
      </w:r>
      <w:r w:rsidRPr="00DA3867">
        <w:rPr>
          <w:rFonts w:ascii="Times New Roman" w:hAnsi="Times New Roman" w:cs="Times New Roman"/>
          <w:sz w:val="22"/>
          <w:szCs w:val="22"/>
        </w:rPr>
        <w:t>YoY</w:t>
      </w:r>
      <w:r w:rsidR="0077797D" w:rsidRPr="00DA3867">
        <w:rPr>
          <w:rFonts w:ascii="Times New Roman" w:hAnsi="Times New Roman" w:cs="Times New Roman"/>
          <w:sz w:val="22"/>
          <w:szCs w:val="22"/>
        </w:rPr>
        <w:t xml:space="preserve"> reading since 2021.</w:t>
      </w:r>
    </w:p>
    <w:p w14:paraId="6A9F017E" w14:textId="32E07645" w:rsidR="00C173A3" w:rsidRPr="00DA3867" w:rsidRDefault="00C64729" w:rsidP="00C173A3">
      <w:pPr>
        <w:rPr>
          <w:rFonts w:ascii="Times New Roman" w:hAnsi="Times New Roman" w:cs="Times New Roman"/>
          <w:sz w:val="22"/>
          <w:szCs w:val="22"/>
        </w:rPr>
      </w:pPr>
      <w:r w:rsidRPr="00DA3867">
        <w:rPr>
          <w:rFonts w:ascii="Times New Roman" w:hAnsi="Times New Roman" w:cs="Times New Roman"/>
          <w:sz w:val="22"/>
          <w:szCs w:val="22"/>
        </w:rPr>
        <w:t>R</w:t>
      </w:r>
      <w:r w:rsidR="00C173A3" w:rsidRPr="00C173A3">
        <w:rPr>
          <w:rFonts w:ascii="Times New Roman" w:hAnsi="Times New Roman" w:cs="Times New Roman"/>
          <w:sz w:val="22"/>
          <w:szCs w:val="22"/>
        </w:rPr>
        <w:t xml:space="preserve">etail sales </w:t>
      </w:r>
      <w:r w:rsidRPr="00DA3867">
        <w:rPr>
          <w:rFonts w:ascii="Times New Roman" w:hAnsi="Times New Roman" w:cs="Times New Roman"/>
          <w:sz w:val="22"/>
          <w:szCs w:val="22"/>
        </w:rPr>
        <w:t xml:space="preserve">were mixed in </w:t>
      </w:r>
      <w:r w:rsidR="00C173A3" w:rsidRPr="00C173A3">
        <w:rPr>
          <w:rFonts w:ascii="Times New Roman" w:hAnsi="Times New Roman" w:cs="Times New Roman"/>
          <w:sz w:val="22"/>
          <w:szCs w:val="22"/>
        </w:rPr>
        <w:t>February</w:t>
      </w:r>
      <w:r w:rsidRPr="00DA3867">
        <w:rPr>
          <w:rFonts w:ascii="Times New Roman" w:hAnsi="Times New Roman" w:cs="Times New Roman"/>
          <w:sz w:val="22"/>
          <w:szCs w:val="22"/>
        </w:rPr>
        <w:t>,</w:t>
      </w:r>
      <w:r w:rsidR="00C173A3" w:rsidRPr="00C173A3">
        <w:rPr>
          <w:rFonts w:ascii="Times New Roman" w:hAnsi="Times New Roman" w:cs="Times New Roman"/>
          <w:sz w:val="22"/>
          <w:szCs w:val="22"/>
        </w:rPr>
        <w:t xml:space="preserve"> with overall </w:t>
      </w:r>
      <w:r w:rsidR="007C5397" w:rsidRPr="00DA3867">
        <w:rPr>
          <w:rFonts w:ascii="Times New Roman" w:hAnsi="Times New Roman" w:cs="Times New Roman"/>
          <w:sz w:val="22"/>
          <w:szCs w:val="22"/>
        </w:rPr>
        <w:t xml:space="preserve">activity </w:t>
      </w:r>
      <w:r w:rsidRPr="00DA3867">
        <w:rPr>
          <w:rFonts w:ascii="Times New Roman" w:hAnsi="Times New Roman" w:cs="Times New Roman"/>
          <w:sz w:val="22"/>
          <w:szCs w:val="22"/>
        </w:rPr>
        <w:t xml:space="preserve">ticking up </w:t>
      </w:r>
      <w:r w:rsidR="00C173A3" w:rsidRPr="00C173A3">
        <w:rPr>
          <w:rFonts w:ascii="Times New Roman" w:hAnsi="Times New Roman" w:cs="Times New Roman"/>
          <w:sz w:val="22"/>
          <w:szCs w:val="22"/>
        </w:rPr>
        <w:t xml:space="preserve">0.2% month-over-month, </w:t>
      </w:r>
      <w:r w:rsidRPr="00DA3867">
        <w:rPr>
          <w:rFonts w:ascii="Times New Roman" w:hAnsi="Times New Roman" w:cs="Times New Roman"/>
          <w:sz w:val="22"/>
          <w:szCs w:val="22"/>
        </w:rPr>
        <w:t xml:space="preserve">less than </w:t>
      </w:r>
      <w:r w:rsidR="00C173A3" w:rsidRPr="00C173A3">
        <w:rPr>
          <w:rFonts w:ascii="Times New Roman" w:hAnsi="Times New Roman" w:cs="Times New Roman"/>
          <w:sz w:val="22"/>
          <w:szCs w:val="22"/>
        </w:rPr>
        <w:t>expect</w:t>
      </w:r>
      <w:r w:rsidRPr="00DA3867">
        <w:rPr>
          <w:rFonts w:ascii="Times New Roman" w:hAnsi="Times New Roman" w:cs="Times New Roman"/>
          <w:sz w:val="22"/>
          <w:szCs w:val="22"/>
        </w:rPr>
        <w:t>ed</w:t>
      </w:r>
      <w:r w:rsidR="00C173A3" w:rsidRPr="00C173A3">
        <w:rPr>
          <w:rFonts w:ascii="Times New Roman" w:hAnsi="Times New Roman" w:cs="Times New Roman"/>
          <w:sz w:val="22"/>
          <w:szCs w:val="22"/>
        </w:rPr>
        <w:t xml:space="preserve">, </w:t>
      </w:r>
      <w:r w:rsidRPr="00DA3867">
        <w:rPr>
          <w:rFonts w:ascii="Times New Roman" w:hAnsi="Times New Roman" w:cs="Times New Roman"/>
          <w:sz w:val="22"/>
          <w:szCs w:val="22"/>
        </w:rPr>
        <w:t xml:space="preserve">but </w:t>
      </w:r>
      <w:r w:rsidR="00C173A3" w:rsidRPr="00C173A3">
        <w:rPr>
          <w:rFonts w:ascii="Times New Roman" w:hAnsi="Times New Roman" w:cs="Times New Roman"/>
          <w:sz w:val="22"/>
          <w:szCs w:val="22"/>
        </w:rPr>
        <w:t xml:space="preserve">excluding </w:t>
      </w:r>
      <w:r w:rsidRPr="00DA3867">
        <w:rPr>
          <w:rFonts w:ascii="Times New Roman" w:hAnsi="Times New Roman" w:cs="Times New Roman"/>
          <w:sz w:val="22"/>
          <w:szCs w:val="22"/>
        </w:rPr>
        <w:t>cars</w:t>
      </w:r>
      <w:r w:rsidR="00C173A3" w:rsidRPr="00C173A3">
        <w:rPr>
          <w:rFonts w:ascii="Times New Roman" w:hAnsi="Times New Roman" w:cs="Times New Roman"/>
          <w:sz w:val="22"/>
          <w:szCs w:val="22"/>
        </w:rPr>
        <w:t xml:space="preserve">, gas, building supplies, and food services </w:t>
      </w:r>
      <w:r w:rsidR="007C5397" w:rsidRPr="00DA3867">
        <w:rPr>
          <w:rFonts w:ascii="Times New Roman" w:hAnsi="Times New Roman" w:cs="Times New Roman"/>
          <w:sz w:val="22"/>
          <w:szCs w:val="22"/>
        </w:rPr>
        <w:t xml:space="preserve">sales were up </w:t>
      </w:r>
      <w:r w:rsidR="00C173A3" w:rsidRPr="00C173A3">
        <w:rPr>
          <w:rFonts w:ascii="Times New Roman" w:hAnsi="Times New Roman" w:cs="Times New Roman"/>
          <w:sz w:val="22"/>
          <w:szCs w:val="22"/>
        </w:rPr>
        <w:t>a 1%</w:t>
      </w:r>
      <w:r w:rsidR="007C5397" w:rsidRPr="00DA3867">
        <w:rPr>
          <w:rFonts w:ascii="Times New Roman" w:hAnsi="Times New Roman" w:cs="Times New Roman"/>
          <w:sz w:val="22"/>
          <w:szCs w:val="22"/>
        </w:rPr>
        <w:t>, better than expected. But d</w:t>
      </w:r>
      <w:r w:rsidR="00C173A3" w:rsidRPr="00C173A3">
        <w:rPr>
          <w:rFonts w:ascii="Times New Roman" w:hAnsi="Times New Roman" w:cs="Times New Roman"/>
          <w:sz w:val="22"/>
          <w:szCs w:val="22"/>
        </w:rPr>
        <w:t xml:space="preserve">iscretionary spending remained </w:t>
      </w:r>
      <w:r w:rsidR="00AA36CB" w:rsidRPr="00DA3867">
        <w:rPr>
          <w:rFonts w:ascii="Times New Roman" w:hAnsi="Times New Roman" w:cs="Times New Roman"/>
          <w:sz w:val="22"/>
          <w:szCs w:val="22"/>
        </w:rPr>
        <w:t>soft, particularly</w:t>
      </w:r>
      <w:r w:rsidRPr="00DA3867">
        <w:rPr>
          <w:rFonts w:ascii="Times New Roman" w:hAnsi="Times New Roman" w:cs="Times New Roman"/>
          <w:sz w:val="22"/>
          <w:szCs w:val="22"/>
        </w:rPr>
        <w:t xml:space="preserve"> for </w:t>
      </w:r>
      <w:r w:rsidR="00C173A3" w:rsidRPr="00C173A3">
        <w:rPr>
          <w:rFonts w:ascii="Times New Roman" w:hAnsi="Times New Roman" w:cs="Times New Roman"/>
          <w:sz w:val="22"/>
          <w:szCs w:val="22"/>
        </w:rPr>
        <w:t xml:space="preserve">restaurants, clothing, and electronics, </w:t>
      </w:r>
      <w:r w:rsidR="007C5397" w:rsidRPr="00DA3867">
        <w:rPr>
          <w:rFonts w:ascii="Times New Roman" w:hAnsi="Times New Roman" w:cs="Times New Roman"/>
          <w:sz w:val="22"/>
          <w:szCs w:val="22"/>
        </w:rPr>
        <w:t xml:space="preserve">a </w:t>
      </w:r>
      <w:r w:rsidRPr="00DA3867">
        <w:rPr>
          <w:rFonts w:ascii="Times New Roman" w:hAnsi="Times New Roman" w:cs="Times New Roman"/>
          <w:sz w:val="22"/>
          <w:szCs w:val="22"/>
        </w:rPr>
        <w:t>possibl</w:t>
      </w:r>
      <w:r w:rsidR="007C5397" w:rsidRPr="00DA3867">
        <w:rPr>
          <w:rFonts w:ascii="Times New Roman" w:hAnsi="Times New Roman" w:cs="Times New Roman"/>
          <w:sz w:val="22"/>
          <w:szCs w:val="22"/>
        </w:rPr>
        <w:t xml:space="preserve">e </w:t>
      </w:r>
      <w:r w:rsidRPr="00DA3867">
        <w:rPr>
          <w:rFonts w:ascii="Times New Roman" w:hAnsi="Times New Roman" w:cs="Times New Roman"/>
          <w:sz w:val="22"/>
          <w:szCs w:val="22"/>
        </w:rPr>
        <w:t xml:space="preserve">sign of consumer caution. </w:t>
      </w:r>
      <w:r w:rsidR="00C173A3" w:rsidRPr="00C173A3">
        <w:rPr>
          <w:rFonts w:ascii="Times New Roman" w:hAnsi="Times New Roman" w:cs="Times New Roman"/>
          <w:sz w:val="22"/>
          <w:szCs w:val="22"/>
        </w:rPr>
        <w:t xml:space="preserve"> </w:t>
      </w:r>
    </w:p>
    <w:p w14:paraId="48C112CE" w14:textId="42AB2534" w:rsidR="00B97664" w:rsidRPr="00DA3867" w:rsidRDefault="00B97664" w:rsidP="00B97664">
      <w:pPr>
        <w:rPr>
          <w:rFonts w:ascii="Times New Roman" w:hAnsi="Times New Roman" w:cs="Times New Roman"/>
          <w:sz w:val="22"/>
          <w:szCs w:val="22"/>
        </w:rPr>
      </w:pPr>
      <w:r w:rsidRPr="00DA3867">
        <w:rPr>
          <w:rFonts w:ascii="Times New Roman" w:hAnsi="Times New Roman" w:cs="Times New Roman"/>
          <w:sz w:val="22"/>
          <w:szCs w:val="22"/>
        </w:rPr>
        <w:t>To</w:t>
      </w:r>
      <w:r w:rsidRPr="00B97664">
        <w:rPr>
          <w:rFonts w:ascii="Times New Roman" w:hAnsi="Times New Roman" w:cs="Times New Roman"/>
          <w:sz w:val="22"/>
          <w:szCs w:val="22"/>
        </w:rPr>
        <w:t xml:space="preserve">tal nonfarm </w:t>
      </w:r>
      <w:r w:rsidR="009C737E" w:rsidRPr="00DA3867">
        <w:rPr>
          <w:rFonts w:ascii="Times New Roman" w:hAnsi="Times New Roman" w:cs="Times New Roman"/>
          <w:sz w:val="22"/>
          <w:szCs w:val="22"/>
        </w:rPr>
        <w:t>US</w:t>
      </w:r>
      <w:r w:rsidRPr="00DA3867">
        <w:rPr>
          <w:rFonts w:ascii="Times New Roman" w:hAnsi="Times New Roman" w:cs="Times New Roman"/>
          <w:sz w:val="22"/>
          <w:szCs w:val="22"/>
        </w:rPr>
        <w:t xml:space="preserve"> </w:t>
      </w:r>
      <w:r w:rsidRPr="00B97664">
        <w:rPr>
          <w:rFonts w:ascii="Times New Roman" w:hAnsi="Times New Roman" w:cs="Times New Roman"/>
          <w:sz w:val="22"/>
          <w:szCs w:val="22"/>
        </w:rPr>
        <w:t>employment rose by 151,000</w:t>
      </w:r>
      <w:r w:rsidR="00AA36CB" w:rsidRPr="00DA3867">
        <w:rPr>
          <w:rFonts w:ascii="Times New Roman" w:hAnsi="Times New Roman" w:cs="Times New Roman"/>
          <w:sz w:val="22"/>
          <w:szCs w:val="22"/>
        </w:rPr>
        <w:t xml:space="preserve"> jobs</w:t>
      </w:r>
      <w:r w:rsidRPr="00B97664">
        <w:rPr>
          <w:rFonts w:ascii="Times New Roman" w:hAnsi="Times New Roman" w:cs="Times New Roman"/>
          <w:sz w:val="22"/>
          <w:szCs w:val="22"/>
        </w:rPr>
        <w:t xml:space="preserve"> in February, </w:t>
      </w:r>
      <w:r w:rsidR="007C5397" w:rsidRPr="00DA3867">
        <w:rPr>
          <w:rFonts w:ascii="Times New Roman" w:hAnsi="Times New Roman" w:cs="Times New Roman"/>
          <w:sz w:val="22"/>
          <w:szCs w:val="22"/>
        </w:rPr>
        <w:t xml:space="preserve">a bit shy of expectations, </w:t>
      </w:r>
      <w:r w:rsidRPr="00B97664">
        <w:rPr>
          <w:rFonts w:ascii="Times New Roman" w:hAnsi="Times New Roman" w:cs="Times New Roman"/>
          <w:sz w:val="22"/>
          <w:szCs w:val="22"/>
        </w:rPr>
        <w:t>and the unemployment rate changed</w:t>
      </w:r>
      <w:r w:rsidRPr="00DA3867">
        <w:rPr>
          <w:rFonts w:ascii="Times New Roman" w:hAnsi="Times New Roman" w:cs="Times New Roman"/>
          <w:sz w:val="22"/>
          <w:szCs w:val="22"/>
        </w:rPr>
        <w:t xml:space="preserve"> </w:t>
      </w:r>
      <w:r w:rsidRPr="00B97664">
        <w:rPr>
          <w:rFonts w:ascii="Times New Roman" w:hAnsi="Times New Roman" w:cs="Times New Roman"/>
          <w:sz w:val="22"/>
          <w:szCs w:val="22"/>
        </w:rPr>
        <w:t>little at 4.1</w:t>
      </w:r>
      <w:r w:rsidRPr="00DA3867">
        <w:rPr>
          <w:rFonts w:ascii="Times New Roman" w:hAnsi="Times New Roman" w:cs="Times New Roman"/>
          <w:sz w:val="22"/>
          <w:szCs w:val="22"/>
        </w:rPr>
        <w:t>%</w:t>
      </w:r>
      <w:r w:rsidRPr="00B97664">
        <w:rPr>
          <w:rFonts w:ascii="Times New Roman" w:hAnsi="Times New Roman" w:cs="Times New Roman"/>
          <w:sz w:val="22"/>
          <w:szCs w:val="22"/>
        </w:rPr>
        <w:t xml:space="preserve">, </w:t>
      </w:r>
      <w:r w:rsidRPr="00DA3867">
        <w:rPr>
          <w:rFonts w:ascii="Times New Roman" w:hAnsi="Times New Roman" w:cs="Times New Roman"/>
          <w:sz w:val="22"/>
          <w:szCs w:val="22"/>
        </w:rPr>
        <w:t xml:space="preserve">according to </w:t>
      </w:r>
      <w:r w:rsidRPr="00B97664">
        <w:rPr>
          <w:rFonts w:ascii="Times New Roman" w:hAnsi="Times New Roman" w:cs="Times New Roman"/>
          <w:sz w:val="22"/>
          <w:szCs w:val="22"/>
        </w:rPr>
        <w:t xml:space="preserve">the </w:t>
      </w:r>
      <w:r w:rsidR="009C737E" w:rsidRPr="00DA3867">
        <w:rPr>
          <w:rFonts w:ascii="Times New Roman" w:hAnsi="Times New Roman" w:cs="Times New Roman"/>
          <w:sz w:val="22"/>
          <w:szCs w:val="22"/>
        </w:rPr>
        <w:t>US</w:t>
      </w:r>
      <w:r w:rsidRPr="00B97664">
        <w:rPr>
          <w:rFonts w:ascii="Times New Roman" w:hAnsi="Times New Roman" w:cs="Times New Roman"/>
          <w:sz w:val="22"/>
          <w:szCs w:val="22"/>
        </w:rPr>
        <w:t xml:space="preserve"> Bureau of Labor Statistics</w:t>
      </w:r>
      <w:r w:rsidRPr="00DA3867">
        <w:rPr>
          <w:rFonts w:ascii="Times New Roman" w:hAnsi="Times New Roman" w:cs="Times New Roman"/>
          <w:sz w:val="22"/>
          <w:szCs w:val="22"/>
        </w:rPr>
        <w:t>. The unemployment rate has hovered between 4% - 4.2%, a very low level historically, since May 2024.</w:t>
      </w:r>
    </w:p>
    <w:p w14:paraId="564D19D4" w14:textId="3D8B1F9D" w:rsidR="0077797D" w:rsidRPr="00DA3867" w:rsidRDefault="0077797D" w:rsidP="0077797D">
      <w:pPr>
        <w:rPr>
          <w:rFonts w:ascii="Times New Roman" w:hAnsi="Times New Roman" w:cs="Times New Roman"/>
          <w:sz w:val="22"/>
          <w:szCs w:val="22"/>
        </w:rPr>
      </w:pPr>
      <w:r w:rsidRPr="0077797D">
        <w:rPr>
          <w:rFonts w:ascii="Times New Roman" w:hAnsi="Times New Roman" w:cs="Times New Roman"/>
          <w:sz w:val="22"/>
          <w:szCs w:val="22"/>
        </w:rPr>
        <w:t xml:space="preserve">The Federal Reserve </w:t>
      </w:r>
      <w:r w:rsidR="00AE5BB2" w:rsidRPr="00DA3867">
        <w:rPr>
          <w:rFonts w:ascii="Times New Roman" w:hAnsi="Times New Roman" w:cs="Times New Roman"/>
          <w:sz w:val="22"/>
          <w:szCs w:val="22"/>
        </w:rPr>
        <w:t xml:space="preserve">held its key </w:t>
      </w:r>
      <w:r w:rsidRPr="0077797D">
        <w:rPr>
          <w:rFonts w:ascii="Times New Roman" w:hAnsi="Times New Roman" w:cs="Times New Roman"/>
          <w:sz w:val="22"/>
          <w:szCs w:val="22"/>
        </w:rPr>
        <w:t xml:space="preserve">rate at 4.25% to 4.50%, citing </w:t>
      </w:r>
      <w:r w:rsidR="00AE5BB2" w:rsidRPr="00DA3867">
        <w:rPr>
          <w:rFonts w:ascii="Times New Roman" w:hAnsi="Times New Roman" w:cs="Times New Roman"/>
          <w:sz w:val="22"/>
          <w:szCs w:val="22"/>
        </w:rPr>
        <w:t xml:space="preserve">rising </w:t>
      </w:r>
      <w:r w:rsidRPr="0077797D">
        <w:rPr>
          <w:rFonts w:ascii="Times New Roman" w:hAnsi="Times New Roman" w:cs="Times New Roman"/>
          <w:sz w:val="22"/>
          <w:szCs w:val="22"/>
        </w:rPr>
        <w:t xml:space="preserve">uncertainty around the economic outlook. Fed Chair Powell noted that the central bank is in no rush to make further moves and is waiting for more clarity. </w:t>
      </w:r>
    </w:p>
    <w:p w14:paraId="72654813" w14:textId="5F40589E" w:rsidR="00FC29A8" w:rsidRPr="00FC29A8" w:rsidRDefault="00917763" w:rsidP="00FC29A8">
      <w:pPr>
        <w:rPr>
          <w:rFonts w:ascii="Times New Roman" w:hAnsi="Times New Roman" w:cs="Times New Roman"/>
          <w:sz w:val="22"/>
          <w:szCs w:val="22"/>
        </w:rPr>
      </w:pPr>
      <w:r w:rsidRPr="00DA3867">
        <w:rPr>
          <w:rFonts w:ascii="Times New Roman" w:hAnsi="Times New Roman" w:cs="Times New Roman"/>
          <w:sz w:val="22"/>
          <w:szCs w:val="22"/>
        </w:rPr>
        <w:t xml:space="preserve">Fixed income </w:t>
      </w:r>
      <w:r w:rsidR="00FC29A8" w:rsidRPr="00FC29A8">
        <w:rPr>
          <w:rFonts w:ascii="Times New Roman" w:hAnsi="Times New Roman" w:cs="Times New Roman"/>
          <w:sz w:val="22"/>
          <w:szCs w:val="22"/>
        </w:rPr>
        <w:t>investors expressed caution as prices rose and yields fell</w:t>
      </w:r>
      <w:r w:rsidR="00FC29A8" w:rsidRPr="00DA3867">
        <w:rPr>
          <w:rFonts w:ascii="Times New Roman" w:hAnsi="Times New Roman" w:cs="Times New Roman"/>
          <w:sz w:val="22"/>
          <w:szCs w:val="22"/>
        </w:rPr>
        <w:t xml:space="preserve">, with the yield on the benchmark </w:t>
      </w:r>
      <w:r w:rsidR="009C737E" w:rsidRPr="00DA3867">
        <w:rPr>
          <w:rFonts w:ascii="Times New Roman" w:hAnsi="Times New Roman" w:cs="Times New Roman"/>
          <w:sz w:val="22"/>
          <w:szCs w:val="22"/>
        </w:rPr>
        <w:t>US</w:t>
      </w:r>
      <w:r w:rsidR="00FC29A8" w:rsidRPr="00DA3867">
        <w:rPr>
          <w:rFonts w:ascii="Times New Roman" w:hAnsi="Times New Roman" w:cs="Times New Roman"/>
          <w:sz w:val="22"/>
          <w:szCs w:val="22"/>
        </w:rPr>
        <w:t xml:space="preserve"> ten-year note </w:t>
      </w:r>
      <w:r w:rsidR="00AA36CB" w:rsidRPr="00DA3867">
        <w:rPr>
          <w:rFonts w:ascii="Times New Roman" w:hAnsi="Times New Roman" w:cs="Times New Roman"/>
          <w:sz w:val="22"/>
          <w:szCs w:val="22"/>
        </w:rPr>
        <w:t xml:space="preserve">hitting </w:t>
      </w:r>
      <w:r w:rsidR="00FC29A8" w:rsidRPr="00DA3867">
        <w:rPr>
          <w:rFonts w:ascii="Times New Roman" w:hAnsi="Times New Roman" w:cs="Times New Roman"/>
          <w:sz w:val="22"/>
          <w:szCs w:val="22"/>
        </w:rPr>
        <w:t xml:space="preserve">4.79% </w:t>
      </w:r>
      <w:r w:rsidR="00AA36CB" w:rsidRPr="00DA3867">
        <w:rPr>
          <w:rFonts w:ascii="Times New Roman" w:hAnsi="Times New Roman" w:cs="Times New Roman"/>
          <w:sz w:val="22"/>
          <w:szCs w:val="22"/>
        </w:rPr>
        <w:t>in</w:t>
      </w:r>
      <w:r w:rsidR="00FC29A8" w:rsidRPr="00DA3867">
        <w:rPr>
          <w:rFonts w:ascii="Times New Roman" w:hAnsi="Times New Roman" w:cs="Times New Roman"/>
          <w:sz w:val="22"/>
          <w:szCs w:val="22"/>
        </w:rPr>
        <w:t xml:space="preserve"> mid-January before falling to 4.21% </w:t>
      </w:r>
      <w:r w:rsidR="00AA36CB" w:rsidRPr="00DA3867">
        <w:rPr>
          <w:rFonts w:ascii="Times New Roman" w:hAnsi="Times New Roman" w:cs="Times New Roman"/>
          <w:sz w:val="22"/>
          <w:szCs w:val="22"/>
        </w:rPr>
        <w:t>by</w:t>
      </w:r>
      <w:r w:rsidR="00FC29A8" w:rsidRPr="00DA3867">
        <w:rPr>
          <w:rFonts w:ascii="Times New Roman" w:hAnsi="Times New Roman" w:cs="Times New Roman"/>
          <w:sz w:val="22"/>
          <w:szCs w:val="22"/>
        </w:rPr>
        <w:t xml:space="preserve"> the end of March.</w:t>
      </w:r>
      <w:r w:rsidRPr="00DA3867">
        <w:rPr>
          <w:rFonts w:ascii="Times New Roman" w:hAnsi="Times New Roman" w:cs="Times New Roman"/>
          <w:sz w:val="22"/>
          <w:szCs w:val="22"/>
        </w:rPr>
        <w:t xml:space="preserve"> Investors’ initial enthusiasm for a Trump policy agenda focused on deregulation and tax cuts gave way over the quarter to concerns about tariffs and a possible economic slowdown</w:t>
      </w:r>
      <w:r w:rsidR="00D20D1F" w:rsidRPr="00DA3867">
        <w:rPr>
          <w:rFonts w:ascii="Times New Roman" w:hAnsi="Times New Roman" w:cs="Times New Roman"/>
          <w:sz w:val="22"/>
          <w:szCs w:val="22"/>
        </w:rPr>
        <w:t xml:space="preserve">. </w:t>
      </w:r>
    </w:p>
    <w:p w14:paraId="08E631D1" w14:textId="400C0B96" w:rsidR="0067476A" w:rsidRPr="0067476A" w:rsidRDefault="00AA36CB" w:rsidP="0067476A">
      <w:pPr>
        <w:rPr>
          <w:rFonts w:ascii="Times New Roman" w:hAnsi="Times New Roman" w:cs="Times New Roman"/>
          <w:sz w:val="22"/>
          <w:szCs w:val="22"/>
        </w:rPr>
      </w:pPr>
      <w:r w:rsidRPr="00DA3867">
        <w:rPr>
          <w:rFonts w:ascii="Times New Roman" w:hAnsi="Times New Roman" w:cs="Times New Roman"/>
          <w:sz w:val="22"/>
          <w:szCs w:val="22"/>
        </w:rPr>
        <w:t xml:space="preserve">The </w:t>
      </w:r>
      <w:r w:rsidRPr="00C64729">
        <w:rPr>
          <w:rFonts w:ascii="Times New Roman" w:hAnsi="Times New Roman" w:cs="Times New Roman"/>
          <w:sz w:val="22"/>
          <w:szCs w:val="22"/>
        </w:rPr>
        <w:t>University of Michigan’s monthly survey</w:t>
      </w:r>
      <w:r w:rsidRPr="00DA3867">
        <w:rPr>
          <w:rFonts w:ascii="Times New Roman" w:hAnsi="Times New Roman" w:cs="Times New Roman"/>
          <w:sz w:val="22"/>
          <w:szCs w:val="22"/>
        </w:rPr>
        <w:t xml:space="preserve"> of </w:t>
      </w:r>
      <w:r w:rsidR="00C64729" w:rsidRPr="00DA3867">
        <w:rPr>
          <w:rFonts w:ascii="Times New Roman" w:hAnsi="Times New Roman" w:cs="Times New Roman"/>
          <w:sz w:val="22"/>
          <w:szCs w:val="22"/>
        </w:rPr>
        <w:t>consumer</w:t>
      </w:r>
      <w:r w:rsidRPr="00DA3867">
        <w:rPr>
          <w:rFonts w:ascii="Times New Roman" w:hAnsi="Times New Roman" w:cs="Times New Roman"/>
          <w:sz w:val="22"/>
          <w:szCs w:val="22"/>
        </w:rPr>
        <w:t xml:space="preserve"> sentiment revealed a pessimistic outlook. </w:t>
      </w:r>
      <w:r w:rsidR="00C64729" w:rsidRPr="00C64729">
        <w:rPr>
          <w:rFonts w:ascii="Times New Roman" w:hAnsi="Times New Roman" w:cs="Times New Roman"/>
          <w:sz w:val="22"/>
          <w:szCs w:val="22"/>
        </w:rPr>
        <w:t xml:space="preserve">The survey’s </w:t>
      </w:r>
      <w:r w:rsidR="00D20D1F" w:rsidRPr="00DA3867">
        <w:rPr>
          <w:rFonts w:ascii="Times New Roman" w:hAnsi="Times New Roman" w:cs="Times New Roman"/>
          <w:sz w:val="22"/>
          <w:szCs w:val="22"/>
        </w:rPr>
        <w:t xml:space="preserve">March </w:t>
      </w:r>
      <w:r w:rsidR="00C64729" w:rsidRPr="00C64729">
        <w:rPr>
          <w:rFonts w:ascii="Times New Roman" w:hAnsi="Times New Roman" w:cs="Times New Roman"/>
          <w:sz w:val="22"/>
          <w:szCs w:val="22"/>
        </w:rPr>
        <w:t xml:space="preserve">headline index </w:t>
      </w:r>
      <w:r w:rsidR="00BC3F27" w:rsidRPr="00DA3867">
        <w:rPr>
          <w:rFonts w:ascii="Times New Roman" w:hAnsi="Times New Roman" w:cs="Times New Roman"/>
          <w:sz w:val="22"/>
          <w:szCs w:val="22"/>
        </w:rPr>
        <w:t>was</w:t>
      </w:r>
      <w:r w:rsidR="00C64729" w:rsidRPr="00C64729">
        <w:rPr>
          <w:rFonts w:ascii="Times New Roman" w:hAnsi="Times New Roman" w:cs="Times New Roman"/>
          <w:sz w:val="22"/>
          <w:szCs w:val="22"/>
        </w:rPr>
        <w:t xml:space="preserve"> 57</w:t>
      </w:r>
      <w:r w:rsidR="00BC3F27" w:rsidRPr="00DA3867">
        <w:rPr>
          <w:rFonts w:ascii="Times New Roman" w:hAnsi="Times New Roman" w:cs="Times New Roman"/>
          <w:sz w:val="22"/>
          <w:szCs w:val="22"/>
        </w:rPr>
        <w:t>,</w:t>
      </w:r>
      <w:r w:rsidR="00C64729" w:rsidRPr="00C64729">
        <w:rPr>
          <w:rFonts w:ascii="Times New Roman" w:hAnsi="Times New Roman" w:cs="Times New Roman"/>
          <w:sz w:val="22"/>
          <w:szCs w:val="22"/>
        </w:rPr>
        <w:t xml:space="preserve"> the lowest level since 2022</w:t>
      </w:r>
      <w:r w:rsidR="00BC3F27" w:rsidRPr="00DA3867">
        <w:rPr>
          <w:rFonts w:ascii="Times New Roman" w:hAnsi="Times New Roman" w:cs="Times New Roman"/>
          <w:sz w:val="22"/>
          <w:szCs w:val="22"/>
        </w:rPr>
        <w:t xml:space="preserve"> and down from </w:t>
      </w:r>
      <w:r w:rsidR="00C64729" w:rsidRPr="00C64729">
        <w:rPr>
          <w:rFonts w:ascii="Times New Roman" w:hAnsi="Times New Roman" w:cs="Times New Roman"/>
          <w:sz w:val="22"/>
          <w:szCs w:val="22"/>
        </w:rPr>
        <w:t xml:space="preserve">64.7 in February and 79.4 a year ago. Two-thirds of </w:t>
      </w:r>
      <w:r w:rsidR="00BC3F27" w:rsidRPr="00DA3867">
        <w:rPr>
          <w:rFonts w:ascii="Times New Roman" w:hAnsi="Times New Roman" w:cs="Times New Roman"/>
          <w:sz w:val="22"/>
          <w:szCs w:val="22"/>
        </w:rPr>
        <w:t xml:space="preserve">respondents </w:t>
      </w:r>
      <w:r w:rsidR="00C64729" w:rsidRPr="00C64729">
        <w:rPr>
          <w:rFonts w:ascii="Times New Roman" w:hAnsi="Times New Roman" w:cs="Times New Roman"/>
          <w:sz w:val="22"/>
          <w:szCs w:val="22"/>
        </w:rPr>
        <w:t xml:space="preserve">said they </w:t>
      </w:r>
      <w:r w:rsidR="00BC3F27" w:rsidRPr="00DA3867">
        <w:rPr>
          <w:rFonts w:ascii="Times New Roman" w:hAnsi="Times New Roman" w:cs="Times New Roman"/>
          <w:sz w:val="22"/>
          <w:szCs w:val="22"/>
        </w:rPr>
        <w:t xml:space="preserve">expect </w:t>
      </w:r>
      <w:r w:rsidR="00C64729" w:rsidRPr="00C64729">
        <w:rPr>
          <w:rFonts w:ascii="Times New Roman" w:hAnsi="Times New Roman" w:cs="Times New Roman"/>
          <w:sz w:val="22"/>
          <w:szCs w:val="22"/>
        </w:rPr>
        <w:t xml:space="preserve">higher unemployment in the next year, the highest </w:t>
      </w:r>
      <w:r w:rsidR="00BC3F27" w:rsidRPr="00DA3867">
        <w:rPr>
          <w:rFonts w:ascii="Times New Roman" w:hAnsi="Times New Roman" w:cs="Times New Roman"/>
          <w:sz w:val="22"/>
          <w:szCs w:val="22"/>
        </w:rPr>
        <w:t xml:space="preserve">level </w:t>
      </w:r>
      <w:r w:rsidR="00C64729" w:rsidRPr="00C64729">
        <w:rPr>
          <w:rFonts w:ascii="Times New Roman" w:hAnsi="Times New Roman" w:cs="Times New Roman"/>
          <w:sz w:val="22"/>
          <w:szCs w:val="22"/>
        </w:rPr>
        <w:t>since 2009.</w:t>
      </w:r>
      <w:r w:rsidR="0067476A" w:rsidRPr="00DA3867">
        <w:rPr>
          <w:rFonts w:ascii="Times New Roman" w:hAnsi="Times New Roman" w:cs="Times New Roman"/>
          <w:sz w:val="22"/>
          <w:szCs w:val="22"/>
        </w:rPr>
        <w:t xml:space="preserve"> On the business side, m</w:t>
      </w:r>
      <w:r w:rsidR="0067476A" w:rsidRPr="0067476A">
        <w:rPr>
          <w:rFonts w:ascii="Times New Roman" w:hAnsi="Times New Roman" w:cs="Times New Roman"/>
          <w:sz w:val="22"/>
          <w:szCs w:val="22"/>
        </w:rPr>
        <w:t xml:space="preserve">anufacturing activity </w:t>
      </w:r>
      <w:r w:rsidR="0067476A" w:rsidRPr="00DA3867">
        <w:rPr>
          <w:rFonts w:ascii="Times New Roman" w:hAnsi="Times New Roman" w:cs="Times New Roman"/>
          <w:sz w:val="22"/>
          <w:szCs w:val="22"/>
        </w:rPr>
        <w:t xml:space="preserve">contracted </w:t>
      </w:r>
      <w:r w:rsidR="0067476A" w:rsidRPr="0067476A">
        <w:rPr>
          <w:rFonts w:ascii="Times New Roman" w:hAnsi="Times New Roman" w:cs="Times New Roman"/>
          <w:sz w:val="22"/>
          <w:szCs w:val="22"/>
        </w:rPr>
        <w:t>in March</w:t>
      </w:r>
      <w:r w:rsidR="0067476A" w:rsidRPr="00DA3867">
        <w:rPr>
          <w:rFonts w:ascii="Times New Roman" w:hAnsi="Times New Roman" w:cs="Times New Roman"/>
          <w:sz w:val="22"/>
          <w:szCs w:val="22"/>
        </w:rPr>
        <w:t xml:space="preserve"> as the </w:t>
      </w:r>
      <w:r w:rsidR="0067476A" w:rsidRPr="0067476A">
        <w:rPr>
          <w:rFonts w:ascii="Times New Roman" w:hAnsi="Times New Roman" w:cs="Times New Roman"/>
          <w:sz w:val="22"/>
          <w:szCs w:val="22"/>
        </w:rPr>
        <w:t xml:space="preserve">Institute for Supply Management </w:t>
      </w:r>
      <w:r w:rsidR="0067476A" w:rsidRPr="00DA3867">
        <w:rPr>
          <w:rFonts w:ascii="Times New Roman" w:hAnsi="Times New Roman" w:cs="Times New Roman"/>
          <w:sz w:val="22"/>
          <w:szCs w:val="22"/>
        </w:rPr>
        <w:t>(ISM) pur</w:t>
      </w:r>
      <w:r w:rsidR="0067476A" w:rsidRPr="0067476A">
        <w:rPr>
          <w:rFonts w:ascii="Times New Roman" w:hAnsi="Times New Roman" w:cs="Times New Roman"/>
          <w:sz w:val="22"/>
          <w:szCs w:val="22"/>
        </w:rPr>
        <w:t xml:space="preserve">chasing managers’ index </w:t>
      </w:r>
      <w:r w:rsidR="0067476A" w:rsidRPr="00DA3867">
        <w:rPr>
          <w:rFonts w:ascii="Times New Roman" w:hAnsi="Times New Roman" w:cs="Times New Roman"/>
          <w:sz w:val="22"/>
          <w:szCs w:val="22"/>
        </w:rPr>
        <w:t xml:space="preserve">slipped </w:t>
      </w:r>
      <w:r w:rsidR="0067476A" w:rsidRPr="0067476A">
        <w:rPr>
          <w:rFonts w:ascii="Times New Roman" w:hAnsi="Times New Roman" w:cs="Times New Roman"/>
          <w:sz w:val="22"/>
          <w:szCs w:val="22"/>
        </w:rPr>
        <w:t>to 49 from 50.3 in February</w:t>
      </w:r>
      <w:r w:rsidR="0067476A" w:rsidRPr="00DA3867">
        <w:rPr>
          <w:rFonts w:ascii="Times New Roman" w:hAnsi="Times New Roman" w:cs="Times New Roman"/>
          <w:sz w:val="22"/>
          <w:szCs w:val="22"/>
        </w:rPr>
        <w:t>, a weaker reading than economists had expected.</w:t>
      </w:r>
    </w:p>
    <w:p w14:paraId="43980A4C" w14:textId="666F9B2A" w:rsidR="00D27E4C" w:rsidRPr="00DA3867" w:rsidRDefault="005D3A23" w:rsidP="00D27E4C">
      <w:pPr>
        <w:rPr>
          <w:rFonts w:ascii="Times New Roman" w:hAnsi="Times New Roman" w:cs="Times New Roman"/>
          <w:sz w:val="22"/>
          <w:szCs w:val="22"/>
        </w:rPr>
      </w:pPr>
      <w:r w:rsidRPr="00DA3867">
        <w:rPr>
          <w:rFonts w:ascii="Times New Roman" w:hAnsi="Times New Roman" w:cs="Times New Roman"/>
          <w:sz w:val="22"/>
          <w:szCs w:val="22"/>
        </w:rPr>
        <w:t xml:space="preserve">A </w:t>
      </w:r>
      <w:r w:rsidR="00A66ECB" w:rsidRPr="00DA3867">
        <w:rPr>
          <w:rFonts w:ascii="Times New Roman" w:hAnsi="Times New Roman" w:cs="Times New Roman"/>
          <w:sz w:val="22"/>
          <w:szCs w:val="22"/>
        </w:rPr>
        <w:t>divergent</w:t>
      </w:r>
      <w:r w:rsidRPr="00DA3867">
        <w:rPr>
          <w:rFonts w:ascii="Times New Roman" w:hAnsi="Times New Roman" w:cs="Times New Roman"/>
          <w:sz w:val="22"/>
          <w:szCs w:val="22"/>
        </w:rPr>
        <w:t xml:space="preserve"> </w:t>
      </w:r>
      <w:r w:rsidR="00F6219E" w:rsidRPr="00DA3867">
        <w:rPr>
          <w:rFonts w:ascii="Times New Roman" w:hAnsi="Times New Roman" w:cs="Times New Roman"/>
          <w:sz w:val="22"/>
          <w:szCs w:val="22"/>
        </w:rPr>
        <w:t xml:space="preserve">investor </w:t>
      </w:r>
      <w:r w:rsidRPr="00DA3867">
        <w:rPr>
          <w:rFonts w:ascii="Times New Roman" w:hAnsi="Times New Roman" w:cs="Times New Roman"/>
          <w:sz w:val="22"/>
          <w:szCs w:val="22"/>
        </w:rPr>
        <w:t xml:space="preserve">response to </w:t>
      </w:r>
      <w:r w:rsidR="00B97664" w:rsidRPr="00DA3867">
        <w:rPr>
          <w:rFonts w:ascii="Times New Roman" w:hAnsi="Times New Roman" w:cs="Times New Roman"/>
          <w:sz w:val="22"/>
          <w:szCs w:val="22"/>
        </w:rPr>
        <w:t xml:space="preserve">the cascade of political and </w:t>
      </w:r>
      <w:r w:rsidR="00991D50" w:rsidRPr="00DA3867">
        <w:rPr>
          <w:rFonts w:ascii="Times New Roman" w:hAnsi="Times New Roman" w:cs="Times New Roman"/>
          <w:sz w:val="22"/>
          <w:szCs w:val="22"/>
        </w:rPr>
        <w:t xml:space="preserve">economic </w:t>
      </w:r>
      <w:r w:rsidR="00B97664" w:rsidRPr="00DA3867">
        <w:rPr>
          <w:rFonts w:ascii="Times New Roman" w:hAnsi="Times New Roman" w:cs="Times New Roman"/>
          <w:sz w:val="22"/>
          <w:szCs w:val="22"/>
        </w:rPr>
        <w:t xml:space="preserve">headlines </w:t>
      </w:r>
      <w:r w:rsidR="00991D50" w:rsidRPr="00DA3867">
        <w:rPr>
          <w:rFonts w:ascii="Times New Roman" w:hAnsi="Times New Roman" w:cs="Times New Roman"/>
          <w:sz w:val="22"/>
          <w:szCs w:val="22"/>
        </w:rPr>
        <w:t>e</w:t>
      </w:r>
      <w:r w:rsidR="00D20D1F" w:rsidRPr="00DA3867">
        <w:rPr>
          <w:rFonts w:ascii="Times New Roman" w:hAnsi="Times New Roman" w:cs="Times New Roman"/>
          <w:sz w:val="22"/>
          <w:szCs w:val="22"/>
        </w:rPr>
        <w:t>merged</w:t>
      </w:r>
      <w:r w:rsidR="00991D50" w:rsidRPr="00DA3867">
        <w:rPr>
          <w:rFonts w:ascii="Times New Roman" w:hAnsi="Times New Roman" w:cs="Times New Roman"/>
          <w:sz w:val="22"/>
          <w:szCs w:val="22"/>
        </w:rPr>
        <w:t xml:space="preserve"> </w:t>
      </w:r>
      <w:r w:rsidRPr="00DA3867">
        <w:rPr>
          <w:rFonts w:ascii="Times New Roman" w:hAnsi="Times New Roman" w:cs="Times New Roman"/>
          <w:sz w:val="22"/>
          <w:szCs w:val="22"/>
        </w:rPr>
        <w:t xml:space="preserve">during </w:t>
      </w:r>
      <w:r w:rsidR="00B97664" w:rsidRPr="00DA3867">
        <w:rPr>
          <w:rFonts w:ascii="Times New Roman" w:hAnsi="Times New Roman" w:cs="Times New Roman"/>
          <w:sz w:val="22"/>
          <w:szCs w:val="22"/>
        </w:rPr>
        <w:t>the quarter</w:t>
      </w:r>
      <w:r w:rsidRPr="00DA3867">
        <w:rPr>
          <w:rFonts w:ascii="Times New Roman" w:hAnsi="Times New Roman" w:cs="Times New Roman"/>
          <w:sz w:val="22"/>
          <w:szCs w:val="22"/>
        </w:rPr>
        <w:t xml:space="preserve">. </w:t>
      </w:r>
      <w:r w:rsidR="00F6219E" w:rsidRPr="00DA3867">
        <w:rPr>
          <w:rFonts w:ascii="Times New Roman" w:hAnsi="Times New Roman" w:cs="Times New Roman"/>
          <w:sz w:val="22"/>
          <w:szCs w:val="22"/>
        </w:rPr>
        <w:t xml:space="preserve">By the third week of March retail investors had poured USD $67 billion into </w:t>
      </w:r>
      <w:r w:rsidR="009C737E" w:rsidRPr="00DA3867">
        <w:rPr>
          <w:rFonts w:ascii="Times New Roman" w:hAnsi="Times New Roman" w:cs="Times New Roman"/>
          <w:sz w:val="22"/>
          <w:szCs w:val="22"/>
        </w:rPr>
        <w:t>US</w:t>
      </w:r>
      <w:r w:rsidR="00F6219E" w:rsidRPr="00DA3867">
        <w:rPr>
          <w:rFonts w:ascii="Times New Roman" w:hAnsi="Times New Roman" w:cs="Times New Roman"/>
          <w:sz w:val="22"/>
          <w:szCs w:val="22"/>
        </w:rPr>
        <w:t xml:space="preserve"> stocks and equity ETFs, second only to the USD $71 billion they pumped in during Q4 2024</w:t>
      </w:r>
      <w:r w:rsidR="00B97664" w:rsidRPr="00DA3867">
        <w:rPr>
          <w:rFonts w:ascii="Times New Roman" w:hAnsi="Times New Roman" w:cs="Times New Roman"/>
          <w:sz w:val="22"/>
          <w:szCs w:val="22"/>
        </w:rPr>
        <w:t xml:space="preserve"> on the heels of Trump’s victory</w:t>
      </w:r>
      <w:r w:rsidR="00F6219E" w:rsidRPr="00DA3867">
        <w:rPr>
          <w:rFonts w:ascii="Times New Roman" w:hAnsi="Times New Roman" w:cs="Times New Roman"/>
          <w:sz w:val="22"/>
          <w:szCs w:val="22"/>
        </w:rPr>
        <w:t>. In contrast, i</w:t>
      </w:r>
      <w:r w:rsidRPr="00DA3867">
        <w:rPr>
          <w:rFonts w:ascii="Times New Roman" w:hAnsi="Times New Roman" w:cs="Times New Roman"/>
          <w:sz w:val="22"/>
          <w:szCs w:val="22"/>
        </w:rPr>
        <w:t xml:space="preserve">nstitutional investors </w:t>
      </w:r>
      <w:r w:rsidR="00F6219E" w:rsidRPr="00DA3867">
        <w:rPr>
          <w:rFonts w:ascii="Times New Roman" w:hAnsi="Times New Roman" w:cs="Times New Roman"/>
          <w:sz w:val="22"/>
          <w:szCs w:val="22"/>
        </w:rPr>
        <w:t xml:space="preserve">pivoted away from </w:t>
      </w:r>
      <w:r w:rsidR="009C737E" w:rsidRPr="00DA3867">
        <w:rPr>
          <w:rFonts w:ascii="Times New Roman" w:hAnsi="Times New Roman" w:cs="Times New Roman"/>
          <w:sz w:val="22"/>
          <w:szCs w:val="22"/>
        </w:rPr>
        <w:t>US</w:t>
      </w:r>
      <w:r w:rsidR="00F6219E" w:rsidRPr="00DA3867">
        <w:rPr>
          <w:rFonts w:ascii="Times New Roman" w:hAnsi="Times New Roman" w:cs="Times New Roman"/>
          <w:sz w:val="22"/>
          <w:szCs w:val="22"/>
        </w:rPr>
        <w:t xml:space="preserve"> equites, cutting allocation</w:t>
      </w:r>
      <w:r w:rsidR="001968F5" w:rsidRPr="00DA3867">
        <w:rPr>
          <w:rFonts w:ascii="Times New Roman" w:hAnsi="Times New Roman" w:cs="Times New Roman"/>
          <w:sz w:val="22"/>
          <w:szCs w:val="22"/>
        </w:rPr>
        <w:t>s</w:t>
      </w:r>
      <w:r w:rsidR="00F6219E" w:rsidRPr="00DA3867">
        <w:rPr>
          <w:rFonts w:ascii="Times New Roman" w:hAnsi="Times New Roman" w:cs="Times New Roman"/>
          <w:sz w:val="22"/>
          <w:szCs w:val="22"/>
        </w:rPr>
        <w:t xml:space="preserve"> by 40%, </w:t>
      </w:r>
      <w:r w:rsidR="00DA3867" w:rsidRPr="00DA3867">
        <w:rPr>
          <w:rFonts w:ascii="Times New Roman" w:hAnsi="Times New Roman" w:cs="Times New Roman"/>
          <w:sz w:val="22"/>
          <w:szCs w:val="22"/>
        </w:rPr>
        <w:t xml:space="preserve">shifting </w:t>
      </w:r>
      <w:r w:rsidR="00F6219E" w:rsidRPr="00DA3867">
        <w:rPr>
          <w:rFonts w:ascii="Times New Roman" w:hAnsi="Times New Roman" w:cs="Times New Roman"/>
          <w:sz w:val="22"/>
          <w:szCs w:val="22"/>
        </w:rPr>
        <w:t xml:space="preserve">from 17% overweight in February (when the S&amp;P 500 </w:t>
      </w:r>
      <w:r w:rsidR="001968F5" w:rsidRPr="00DA3867">
        <w:rPr>
          <w:rFonts w:ascii="Times New Roman" w:hAnsi="Times New Roman" w:cs="Times New Roman"/>
          <w:sz w:val="22"/>
          <w:szCs w:val="22"/>
        </w:rPr>
        <w:t>hit a record high</w:t>
      </w:r>
      <w:r w:rsidR="00F6219E" w:rsidRPr="00DA3867">
        <w:rPr>
          <w:rFonts w:ascii="Times New Roman" w:hAnsi="Times New Roman" w:cs="Times New Roman"/>
          <w:sz w:val="22"/>
          <w:szCs w:val="22"/>
        </w:rPr>
        <w:t xml:space="preserve"> on February 19</w:t>
      </w:r>
      <w:r w:rsidR="00F6219E" w:rsidRPr="00DA3867">
        <w:rPr>
          <w:rFonts w:ascii="Times New Roman" w:hAnsi="Times New Roman" w:cs="Times New Roman"/>
          <w:sz w:val="22"/>
          <w:szCs w:val="22"/>
          <w:vertAlign w:val="superscript"/>
        </w:rPr>
        <w:t>th</w:t>
      </w:r>
      <w:r w:rsidR="00F6219E" w:rsidRPr="00DA3867">
        <w:rPr>
          <w:rFonts w:ascii="Times New Roman" w:hAnsi="Times New Roman" w:cs="Times New Roman"/>
          <w:sz w:val="22"/>
          <w:szCs w:val="22"/>
        </w:rPr>
        <w:t xml:space="preserve">) to 23% underweight </w:t>
      </w:r>
      <w:r w:rsidR="001968F5" w:rsidRPr="00DA3867">
        <w:rPr>
          <w:rFonts w:ascii="Times New Roman" w:hAnsi="Times New Roman" w:cs="Times New Roman"/>
          <w:sz w:val="22"/>
          <w:szCs w:val="22"/>
        </w:rPr>
        <w:t xml:space="preserve">by mid-March. European shares benefited, with allocations to eurozone stocks jumping 27% in the same period. </w:t>
      </w:r>
      <w:r w:rsidR="002A330E" w:rsidRPr="00DA3867">
        <w:rPr>
          <w:rFonts w:ascii="Times New Roman" w:hAnsi="Times New Roman" w:cs="Times New Roman"/>
          <w:sz w:val="22"/>
          <w:szCs w:val="22"/>
        </w:rPr>
        <w:t xml:space="preserve">Short term </w:t>
      </w:r>
      <w:r w:rsidR="009C737E" w:rsidRPr="00DA3867">
        <w:rPr>
          <w:rFonts w:ascii="Times New Roman" w:hAnsi="Times New Roman" w:cs="Times New Roman"/>
          <w:sz w:val="22"/>
          <w:szCs w:val="22"/>
        </w:rPr>
        <w:t>US</w:t>
      </w:r>
      <w:r w:rsidR="002A330E" w:rsidRPr="00DA3867">
        <w:rPr>
          <w:rFonts w:ascii="Times New Roman" w:hAnsi="Times New Roman" w:cs="Times New Roman"/>
          <w:sz w:val="22"/>
          <w:szCs w:val="22"/>
        </w:rPr>
        <w:t xml:space="preserve"> government fixed income holdings </w:t>
      </w:r>
      <w:r w:rsidR="00A66ECB" w:rsidRPr="00DA3867">
        <w:rPr>
          <w:rFonts w:ascii="Times New Roman" w:hAnsi="Times New Roman" w:cs="Times New Roman"/>
          <w:sz w:val="22"/>
          <w:szCs w:val="22"/>
        </w:rPr>
        <w:t xml:space="preserve">also </w:t>
      </w:r>
      <w:r w:rsidR="002A330E" w:rsidRPr="00DA3867">
        <w:rPr>
          <w:rFonts w:ascii="Times New Roman" w:hAnsi="Times New Roman" w:cs="Times New Roman"/>
          <w:sz w:val="22"/>
          <w:szCs w:val="22"/>
        </w:rPr>
        <w:t>expanded between January and mid-March, attracting USD $22 billion in net inflows.</w:t>
      </w:r>
    </w:p>
    <w:p w14:paraId="6BCF8479" w14:textId="37FCCE2F" w:rsidR="004744AF" w:rsidRPr="00DA3867" w:rsidRDefault="00917763" w:rsidP="00D27E4C">
      <w:pPr>
        <w:rPr>
          <w:rFonts w:ascii="Times New Roman" w:hAnsi="Times New Roman" w:cs="Times New Roman"/>
          <w:sz w:val="22"/>
          <w:szCs w:val="22"/>
        </w:rPr>
      </w:pPr>
      <w:r w:rsidRPr="00DA3867">
        <w:rPr>
          <w:rFonts w:ascii="Times New Roman" w:hAnsi="Times New Roman" w:cs="Times New Roman"/>
          <w:sz w:val="22"/>
          <w:szCs w:val="22"/>
        </w:rPr>
        <w:t>In Europe</w:t>
      </w:r>
      <w:r w:rsidR="00EF46A7" w:rsidRPr="00DA3867">
        <w:rPr>
          <w:rFonts w:ascii="Times New Roman" w:hAnsi="Times New Roman" w:cs="Times New Roman"/>
          <w:sz w:val="22"/>
          <w:szCs w:val="22"/>
        </w:rPr>
        <w:t>,</w:t>
      </w:r>
      <w:r w:rsidRPr="00DA3867">
        <w:rPr>
          <w:rFonts w:ascii="Times New Roman" w:hAnsi="Times New Roman" w:cs="Times New Roman"/>
          <w:sz w:val="22"/>
          <w:szCs w:val="22"/>
        </w:rPr>
        <w:t xml:space="preserve"> inflation fell in March to 2.2%, down from February’s 2.3%. Services </w:t>
      </w:r>
      <w:r w:rsidR="00EF46A7" w:rsidRPr="00DA3867">
        <w:rPr>
          <w:rFonts w:ascii="Times New Roman" w:hAnsi="Times New Roman" w:cs="Times New Roman"/>
          <w:sz w:val="22"/>
          <w:szCs w:val="22"/>
        </w:rPr>
        <w:t xml:space="preserve">inflation </w:t>
      </w:r>
      <w:r w:rsidRPr="00DA3867">
        <w:rPr>
          <w:rFonts w:ascii="Times New Roman" w:hAnsi="Times New Roman" w:cs="Times New Roman"/>
          <w:sz w:val="22"/>
          <w:szCs w:val="22"/>
        </w:rPr>
        <w:t xml:space="preserve">dropped to 3.4% from 3.7% a month prior and the declining data </w:t>
      </w:r>
      <w:r w:rsidR="00DA3867" w:rsidRPr="00DA3867">
        <w:rPr>
          <w:rFonts w:ascii="Times New Roman" w:hAnsi="Times New Roman" w:cs="Times New Roman"/>
          <w:sz w:val="22"/>
          <w:szCs w:val="22"/>
        </w:rPr>
        <w:t xml:space="preserve">could lead to </w:t>
      </w:r>
      <w:r w:rsidRPr="00DA3867">
        <w:rPr>
          <w:rFonts w:ascii="Times New Roman" w:hAnsi="Times New Roman" w:cs="Times New Roman"/>
          <w:sz w:val="22"/>
          <w:szCs w:val="22"/>
        </w:rPr>
        <w:t>a</w:t>
      </w:r>
      <w:r w:rsidR="004744AF" w:rsidRPr="00DA3867">
        <w:rPr>
          <w:rFonts w:ascii="Times New Roman" w:hAnsi="Times New Roman" w:cs="Times New Roman"/>
          <w:sz w:val="22"/>
          <w:szCs w:val="22"/>
        </w:rPr>
        <w:t xml:space="preserve">nother </w:t>
      </w:r>
      <w:r w:rsidRPr="00DA3867">
        <w:rPr>
          <w:rFonts w:ascii="Times New Roman" w:hAnsi="Times New Roman" w:cs="Times New Roman"/>
          <w:sz w:val="22"/>
          <w:szCs w:val="22"/>
        </w:rPr>
        <w:t xml:space="preserve">rate cut from the European </w:t>
      </w:r>
      <w:r w:rsidRPr="00DA3867">
        <w:rPr>
          <w:rFonts w:ascii="Times New Roman" w:hAnsi="Times New Roman" w:cs="Times New Roman"/>
          <w:sz w:val="22"/>
          <w:szCs w:val="22"/>
        </w:rPr>
        <w:lastRenderedPageBreak/>
        <w:t>Central Bank (ECB) in April</w:t>
      </w:r>
      <w:r w:rsidR="004744AF" w:rsidRPr="00DA3867">
        <w:rPr>
          <w:rFonts w:ascii="Times New Roman" w:hAnsi="Times New Roman" w:cs="Times New Roman"/>
          <w:sz w:val="22"/>
          <w:szCs w:val="22"/>
        </w:rPr>
        <w:t>, which trimmed its key rate from 2.75% to 2.5% in March</w:t>
      </w:r>
      <w:r w:rsidRPr="00DA3867">
        <w:rPr>
          <w:rFonts w:ascii="Times New Roman" w:hAnsi="Times New Roman" w:cs="Times New Roman"/>
          <w:sz w:val="22"/>
          <w:szCs w:val="22"/>
        </w:rPr>
        <w:t>.</w:t>
      </w:r>
      <w:r w:rsidR="00EF46A7" w:rsidRPr="00DA3867">
        <w:rPr>
          <w:rFonts w:ascii="Times New Roman" w:hAnsi="Times New Roman" w:cs="Times New Roman"/>
          <w:sz w:val="22"/>
          <w:szCs w:val="22"/>
        </w:rPr>
        <w:t xml:space="preserve"> Eurozone unemployment dipped to 6.1% in February from 6.2% in January. </w:t>
      </w:r>
    </w:p>
    <w:p w14:paraId="2777D488" w14:textId="2C61D323" w:rsidR="007B0F96" w:rsidRDefault="00EF46A7" w:rsidP="00373F85">
      <w:pPr>
        <w:spacing w:after="120"/>
        <w:rPr>
          <w:rFonts w:ascii="Times New Roman" w:hAnsi="Times New Roman" w:cs="Times New Roman"/>
          <w:sz w:val="22"/>
          <w:szCs w:val="22"/>
        </w:rPr>
      </w:pPr>
      <w:r w:rsidRPr="00DA3867">
        <w:rPr>
          <w:rFonts w:ascii="Times New Roman" w:hAnsi="Times New Roman" w:cs="Times New Roman"/>
          <w:sz w:val="22"/>
          <w:szCs w:val="22"/>
        </w:rPr>
        <w:t xml:space="preserve">The </w:t>
      </w:r>
      <w:r w:rsidR="004744AF" w:rsidRPr="00DA3867">
        <w:rPr>
          <w:rFonts w:ascii="Times New Roman" w:hAnsi="Times New Roman" w:cs="Times New Roman"/>
          <w:sz w:val="22"/>
          <w:szCs w:val="22"/>
        </w:rPr>
        <w:t>B</w:t>
      </w:r>
      <w:r w:rsidRPr="00DA3867">
        <w:rPr>
          <w:rFonts w:ascii="Times New Roman" w:hAnsi="Times New Roman" w:cs="Times New Roman"/>
          <w:sz w:val="22"/>
          <w:szCs w:val="22"/>
        </w:rPr>
        <w:t>ank of England (BoE) cut rates by .25% in the quarter and</w:t>
      </w:r>
      <w:r w:rsidR="00DA3867" w:rsidRPr="00DA3867">
        <w:rPr>
          <w:rFonts w:ascii="Times New Roman" w:hAnsi="Times New Roman" w:cs="Times New Roman"/>
          <w:sz w:val="22"/>
          <w:szCs w:val="22"/>
        </w:rPr>
        <w:t xml:space="preserve"> subsequently</w:t>
      </w:r>
      <w:r w:rsidRPr="00DA3867">
        <w:rPr>
          <w:rFonts w:ascii="Times New Roman" w:hAnsi="Times New Roman" w:cs="Times New Roman"/>
          <w:sz w:val="22"/>
          <w:szCs w:val="22"/>
        </w:rPr>
        <w:t xml:space="preserve"> held the rate at 4.5% at its March meeting. The UK economy remains sluggish and the BoE, like </w:t>
      </w:r>
      <w:r w:rsidR="00AC1523" w:rsidRPr="00DA3867">
        <w:rPr>
          <w:rFonts w:ascii="Times New Roman" w:hAnsi="Times New Roman" w:cs="Times New Roman"/>
          <w:sz w:val="22"/>
          <w:szCs w:val="22"/>
        </w:rPr>
        <w:t xml:space="preserve">many </w:t>
      </w:r>
      <w:r w:rsidRPr="00DA3867">
        <w:rPr>
          <w:rFonts w:ascii="Times New Roman" w:hAnsi="Times New Roman" w:cs="Times New Roman"/>
          <w:sz w:val="22"/>
          <w:szCs w:val="22"/>
        </w:rPr>
        <w:t>central banks, is sensitive to the po</w:t>
      </w:r>
      <w:r w:rsidR="00DA3867" w:rsidRPr="00DA3867">
        <w:rPr>
          <w:rFonts w:ascii="Times New Roman" w:hAnsi="Times New Roman" w:cs="Times New Roman"/>
          <w:sz w:val="22"/>
          <w:szCs w:val="22"/>
        </w:rPr>
        <w:t xml:space="preserve">ssibility that </w:t>
      </w:r>
      <w:r w:rsidRPr="00DA3867">
        <w:rPr>
          <w:rFonts w:ascii="Times New Roman" w:hAnsi="Times New Roman" w:cs="Times New Roman"/>
          <w:sz w:val="22"/>
          <w:szCs w:val="22"/>
        </w:rPr>
        <w:t xml:space="preserve">US trade tariffs and any </w:t>
      </w:r>
      <w:r w:rsidR="00AC1523" w:rsidRPr="00DA3867">
        <w:rPr>
          <w:rFonts w:ascii="Times New Roman" w:hAnsi="Times New Roman" w:cs="Times New Roman"/>
          <w:sz w:val="22"/>
          <w:szCs w:val="22"/>
        </w:rPr>
        <w:t xml:space="preserve">global </w:t>
      </w:r>
      <w:r w:rsidRPr="00DA3867">
        <w:rPr>
          <w:rFonts w:ascii="Times New Roman" w:hAnsi="Times New Roman" w:cs="Times New Roman"/>
          <w:sz w:val="22"/>
          <w:szCs w:val="22"/>
        </w:rPr>
        <w:t>countermeasures</w:t>
      </w:r>
      <w:r w:rsidR="00DA3867" w:rsidRPr="00DA3867">
        <w:rPr>
          <w:rFonts w:ascii="Times New Roman" w:hAnsi="Times New Roman" w:cs="Times New Roman"/>
          <w:sz w:val="22"/>
          <w:szCs w:val="22"/>
        </w:rPr>
        <w:t xml:space="preserve"> could be inflationary. </w:t>
      </w:r>
      <w:r w:rsidRPr="00DA3867">
        <w:rPr>
          <w:rFonts w:ascii="Times New Roman" w:hAnsi="Times New Roman" w:cs="Times New Roman"/>
          <w:sz w:val="22"/>
          <w:szCs w:val="22"/>
        </w:rPr>
        <w:t>In a major development during the quarter</w:t>
      </w:r>
      <w:r w:rsidR="00D14256" w:rsidRPr="00DA3867">
        <w:rPr>
          <w:rFonts w:ascii="Times New Roman" w:hAnsi="Times New Roman" w:cs="Times New Roman"/>
          <w:sz w:val="22"/>
          <w:szCs w:val="22"/>
        </w:rPr>
        <w:t>,</w:t>
      </w:r>
      <w:r w:rsidRPr="00DA3867">
        <w:rPr>
          <w:rFonts w:ascii="Times New Roman" w:hAnsi="Times New Roman" w:cs="Times New Roman"/>
          <w:sz w:val="22"/>
          <w:szCs w:val="22"/>
        </w:rPr>
        <w:t xml:space="preserve"> German</w:t>
      </w:r>
      <w:r w:rsidR="00D14256" w:rsidRPr="00DA3867">
        <w:rPr>
          <w:rFonts w:ascii="Times New Roman" w:hAnsi="Times New Roman" w:cs="Times New Roman"/>
          <w:sz w:val="22"/>
          <w:szCs w:val="22"/>
        </w:rPr>
        <w:t xml:space="preserve"> politicians agreed to loosen the country’s strict government debt borrowing limit. The goal is to make major investments in defense and infrastructure, </w:t>
      </w:r>
      <w:r w:rsidR="00DA3867" w:rsidRPr="00DA3867">
        <w:rPr>
          <w:rFonts w:ascii="Times New Roman" w:hAnsi="Times New Roman" w:cs="Times New Roman"/>
          <w:sz w:val="22"/>
          <w:szCs w:val="22"/>
        </w:rPr>
        <w:t>worth as much as 500 billion euro</w:t>
      </w:r>
      <w:r w:rsidR="00247ACE">
        <w:rPr>
          <w:rFonts w:ascii="Times New Roman" w:hAnsi="Times New Roman" w:cs="Times New Roman"/>
          <w:sz w:val="22"/>
          <w:szCs w:val="22"/>
        </w:rPr>
        <w:t>s</w:t>
      </w:r>
      <w:r w:rsidR="00DA3867" w:rsidRPr="00DA3867">
        <w:rPr>
          <w:rFonts w:ascii="Times New Roman" w:hAnsi="Times New Roman" w:cs="Times New Roman"/>
          <w:sz w:val="22"/>
          <w:szCs w:val="22"/>
        </w:rPr>
        <w:t xml:space="preserve"> or more, and such </w:t>
      </w:r>
      <w:r w:rsidR="00D14256" w:rsidRPr="00DA3867">
        <w:rPr>
          <w:rFonts w:ascii="Times New Roman" w:hAnsi="Times New Roman" w:cs="Times New Roman"/>
          <w:sz w:val="22"/>
          <w:szCs w:val="22"/>
        </w:rPr>
        <w:t xml:space="preserve">spending could significantly boost parts of the European economy.  </w:t>
      </w:r>
      <w:r w:rsidR="001F5588" w:rsidRPr="00DA3867">
        <w:rPr>
          <w:rFonts w:ascii="Times New Roman" w:hAnsi="Times New Roman" w:cs="Times New Roman"/>
          <w:sz w:val="22"/>
          <w:szCs w:val="22"/>
        </w:rPr>
        <w:t xml:space="preserve">In Japan, the Bank of Japan (BoJ) held its policy rate at </w:t>
      </w:r>
      <w:r w:rsidR="00DA3867" w:rsidRPr="00DA3867">
        <w:rPr>
          <w:rFonts w:ascii="Times New Roman" w:hAnsi="Times New Roman" w:cs="Times New Roman"/>
          <w:sz w:val="22"/>
          <w:szCs w:val="22"/>
        </w:rPr>
        <w:t>0.5% and</w:t>
      </w:r>
      <w:r w:rsidR="001F5588" w:rsidRPr="00DA3867">
        <w:rPr>
          <w:rFonts w:ascii="Times New Roman" w:hAnsi="Times New Roman" w:cs="Times New Roman"/>
          <w:sz w:val="22"/>
          <w:szCs w:val="22"/>
        </w:rPr>
        <w:t xml:space="preserve"> kept </w:t>
      </w:r>
      <w:proofErr w:type="gramStart"/>
      <w:r w:rsidR="001F5588" w:rsidRPr="00DA3867">
        <w:rPr>
          <w:rFonts w:ascii="Times New Roman" w:hAnsi="Times New Roman" w:cs="Times New Roman"/>
          <w:sz w:val="22"/>
          <w:szCs w:val="22"/>
        </w:rPr>
        <w:t>a positive growth</w:t>
      </w:r>
      <w:proofErr w:type="gramEnd"/>
      <w:r w:rsidR="001F5588" w:rsidRPr="00DA3867">
        <w:rPr>
          <w:rFonts w:ascii="Times New Roman" w:hAnsi="Times New Roman" w:cs="Times New Roman"/>
          <w:sz w:val="22"/>
          <w:szCs w:val="22"/>
        </w:rPr>
        <w:t xml:space="preserve"> outlook </w:t>
      </w:r>
      <w:r w:rsidR="00FD31E3" w:rsidRPr="00DA3867">
        <w:rPr>
          <w:rFonts w:ascii="Times New Roman" w:hAnsi="Times New Roman" w:cs="Times New Roman"/>
          <w:sz w:val="22"/>
          <w:szCs w:val="22"/>
        </w:rPr>
        <w:t xml:space="preserve">but </w:t>
      </w:r>
      <w:r w:rsidR="001F5588" w:rsidRPr="00DA3867">
        <w:rPr>
          <w:rFonts w:ascii="Times New Roman" w:hAnsi="Times New Roman" w:cs="Times New Roman"/>
          <w:sz w:val="22"/>
          <w:szCs w:val="22"/>
        </w:rPr>
        <w:t>also flagg</w:t>
      </w:r>
      <w:r w:rsidR="00FD31E3" w:rsidRPr="00DA3867">
        <w:rPr>
          <w:rFonts w:ascii="Times New Roman" w:hAnsi="Times New Roman" w:cs="Times New Roman"/>
          <w:sz w:val="22"/>
          <w:szCs w:val="22"/>
        </w:rPr>
        <w:t>ed</w:t>
      </w:r>
      <w:r w:rsidR="001F5588" w:rsidRPr="00DA3867">
        <w:rPr>
          <w:rFonts w:ascii="Times New Roman" w:hAnsi="Times New Roman" w:cs="Times New Roman"/>
          <w:sz w:val="22"/>
          <w:szCs w:val="22"/>
        </w:rPr>
        <w:t xml:space="preserve"> </w:t>
      </w:r>
      <w:r w:rsidR="00FD31E3" w:rsidRPr="00DA3867">
        <w:rPr>
          <w:rFonts w:ascii="Times New Roman" w:hAnsi="Times New Roman" w:cs="Times New Roman"/>
          <w:sz w:val="22"/>
          <w:szCs w:val="22"/>
        </w:rPr>
        <w:t xml:space="preserve">potential </w:t>
      </w:r>
      <w:r w:rsidR="001F5588" w:rsidRPr="00DA3867">
        <w:rPr>
          <w:rFonts w:ascii="Times New Roman" w:hAnsi="Times New Roman" w:cs="Times New Roman"/>
          <w:sz w:val="22"/>
          <w:szCs w:val="22"/>
        </w:rPr>
        <w:t xml:space="preserve">risks due to US trade policy uncertainty. </w:t>
      </w:r>
    </w:p>
    <w:p w14:paraId="330F84D0" w14:textId="77777777" w:rsidR="00373F85" w:rsidRPr="00373F85" w:rsidRDefault="00373F85" w:rsidP="00373F85">
      <w:pPr>
        <w:spacing w:after="120"/>
        <w:rPr>
          <w:rFonts w:ascii="Times New Roman" w:hAnsi="Times New Roman" w:cs="Times New Roman"/>
          <w:sz w:val="22"/>
          <w:szCs w:val="22"/>
        </w:rPr>
      </w:pPr>
    </w:p>
    <w:p w14:paraId="4F254E87" w14:textId="5D97E6A3" w:rsidR="000066F7" w:rsidRPr="000066F7" w:rsidRDefault="000066F7" w:rsidP="000066F7">
      <w:pPr>
        <w:rPr>
          <w:rFonts w:ascii="Times New Roman" w:hAnsi="Times New Roman" w:cs="Times New Roman"/>
          <w:b/>
          <w:bCs/>
          <w:sz w:val="22"/>
          <w:szCs w:val="22"/>
        </w:rPr>
      </w:pPr>
      <w:r w:rsidRPr="000066F7">
        <w:rPr>
          <w:rFonts w:ascii="Times New Roman" w:hAnsi="Times New Roman" w:cs="Times New Roman"/>
          <w:b/>
          <w:bCs/>
          <w:sz w:val="22"/>
          <w:szCs w:val="22"/>
        </w:rPr>
        <w:t>What can we expect now?</w:t>
      </w:r>
    </w:p>
    <w:p w14:paraId="2EDA6B71" w14:textId="4B53F813" w:rsidR="00A236F4" w:rsidRDefault="000066F7" w:rsidP="000066F7">
      <w:pPr>
        <w:rPr>
          <w:rFonts w:ascii="Times New Roman" w:hAnsi="Times New Roman" w:cs="Times New Roman"/>
          <w:sz w:val="22"/>
          <w:szCs w:val="22"/>
        </w:rPr>
      </w:pPr>
      <w:r>
        <w:rPr>
          <w:rFonts w:ascii="Times New Roman" w:hAnsi="Times New Roman" w:cs="Times New Roman"/>
          <w:sz w:val="22"/>
          <w:szCs w:val="22"/>
        </w:rPr>
        <w:t xml:space="preserve">Donald Trump has said he will announce details of US tariffs on a broad range of countries on April 2. As with most previous tariff announcements markets </w:t>
      </w:r>
      <w:r w:rsidR="00A236F4">
        <w:rPr>
          <w:rFonts w:ascii="Times New Roman" w:hAnsi="Times New Roman" w:cs="Times New Roman"/>
          <w:sz w:val="22"/>
          <w:szCs w:val="22"/>
        </w:rPr>
        <w:t xml:space="preserve">may </w:t>
      </w:r>
      <w:r>
        <w:rPr>
          <w:rFonts w:ascii="Times New Roman" w:hAnsi="Times New Roman" w:cs="Times New Roman"/>
          <w:sz w:val="22"/>
          <w:szCs w:val="22"/>
        </w:rPr>
        <w:t xml:space="preserve">react according to </w:t>
      </w:r>
      <w:r w:rsidR="00A236F4">
        <w:rPr>
          <w:rFonts w:ascii="Times New Roman" w:hAnsi="Times New Roman" w:cs="Times New Roman"/>
          <w:sz w:val="22"/>
          <w:szCs w:val="22"/>
        </w:rPr>
        <w:t xml:space="preserve">initial assessments of </w:t>
      </w:r>
      <w:r>
        <w:rPr>
          <w:rFonts w:ascii="Times New Roman" w:hAnsi="Times New Roman" w:cs="Times New Roman"/>
          <w:sz w:val="22"/>
          <w:szCs w:val="22"/>
        </w:rPr>
        <w:t xml:space="preserve">the immediate and </w:t>
      </w:r>
      <w:r w:rsidR="007F6383">
        <w:rPr>
          <w:rFonts w:ascii="Times New Roman" w:hAnsi="Times New Roman" w:cs="Times New Roman"/>
          <w:sz w:val="22"/>
          <w:szCs w:val="22"/>
        </w:rPr>
        <w:t>longer-term</w:t>
      </w:r>
      <w:r>
        <w:rPr>
          <w:rFonts w:ascii="Times New Roman" w:hAnsi="Times New Roman" w:cs="Times New Roman"/>
          <w:sz w:val="22"/>
          <w:szCs w:val="22"/>
        </w:rPr>
        <w:t xml:space="preserve"> implications</w:t>
      </w:r>
      <w:r w:rsidR="00A236F4">
        <w:rPr>
          <w:rFonts w:ascii="Times New Roman" w:hAnsi="Times New Roman" w:cs="Times New Roman"/>
          <w:sz w:val="22"/>
          <w:szCs w:val="22"/>
        </w:rPr>
        <w:t xml:space="preserve"> for economic growth and inflation</w:t>
      </w:r>
      <w:r>
        <w:rPr>
          <w:rFonts w:ascii="Times New Roman" w:hAnsi="Times New Roman" w:cs="Times New Roman"/>
          <w:sz w:val="22"/>
          <w:szCs w:val="22"/>
        </w:rPr>
        <w:t>. Yet investors will also be s</w:t>
      </w:r>
      <w:r w:rsidR="00A236F4">
        <w:rPr>
          <w:rFonts w:ascii="Times New Roman" w:hAnsi="Times New Roman" w:cs="Times New Roman"/>
          <w:sz w:val="22"/>
          <w:szCs w:val="22"/>
        </w:rPr>
        <w:t xml:space="preserve">eeking clarity on </w:t>
      </w:r>
      <w:r>
        <w:rPr>
          <w:rFonts w:ascii="Times New Roman" w:hAnsi="Times New Roman" w:cs="Times New Roman"/>
          <w:sz w:val="22"/>
          <w:szCs w:val="22"/>
        </w:rPr>
        <w:t>the actual nature of tariffs</w:t>
      </w:r>
      <w:r w:rsidR="00A236F4">
        <w:rPr>
          <w:rFonts w:ascii="Times New Roman" w:hAnsi="Times New Roman" w:cs="Times New Roman"/>
          <w:sz w:val="22"/>
          <w:szCs w:val="22"/>
        </w:rPr>
        <w:t>;</w:t>
      </w:r>
      <w:r>
        <w:rPr>
          <w:rFonts w:ascii="Times New Roman" w:hAnsi="Times New Roman" w:cs="Times New Roman"/>
          <w:sz w:val="22"/>
          <w:szCs w:val="22"/>
        </w:rPr>
        <w:t xml:space="preserve"> are they “permanent”, negotiable, or subject to carve outs for certain sectors? For Canada, priority concerns include the treatment of the auto sector, energy</w:t>
      </w:r>
      <w:r w:rsidR="00A236F4">
        <w:rPr>
          <w:rFonts w:ascii="Times New Roman" w:hAnsi="Times New Roman" w:cs="Times New Roman"/>
          <w:sz w:val="22"/>
          <w:szCs w:val="22"/>
        </w:rPr>
        <w:t>,</w:t>
      </w:r>
      <w:r>
        <w:rPr>
          <w:rFonts w:ascii="Times New Roman" w:hAnsi="Times New Roman" w:cs="Times New Roman"/>
          <w:sz w:val="22"/>
          <w:szCs w:val="22"/>
        </w:rPr>
        <w:t xml:space="preserve"> </w:t>
      </w:r>
      <w:r w:rsidR="00A236F4">
        <w:rPr>
          <w:rFonts w:ascii="Times New Roman" w:hAnsi="Times New Roman" w:cs="Times New Roman"/>
          <w:sz w:val="22"/>
          <w:szCs w:val="22"/>
        </w:rPr>
        <w:t xml:space="preserve">steel and aluminum </w:t>
      </w:r>
      <w:r>
        <w:rPr>
          <w:rFonts w:ascii="Times New Roman" w:hAnsi="Times New Roman" w:cs="Times New Roman"/>
          <w:sz w:val="22"/>
          <w:szCs w:val="22"/>
        </w:rPr>
        <w:t>and supply management</w:t>
      </w:r>
      <w:r w:rsidR="00A236F4">
        <w:rPr>
          <w:rFonts w:ascii="Times New Roman" w:hAnsi="Times New Roman" w:cs="Times New Roman"/>
          <w:sz w:val="22"/>
          <w:szCs w:val="22"/>
        </w:rPr>
        <w:t xml:space="preserve">. A major question is </w:t>
      </w:r>
      <w:r>
        <w:rPr>
          <w:rFonts w:ascii="Times New Roman" w:hAnsi="Times New Roman" w:cs="Times New Roman"/>
          <w:sz w:val="22"/>
          <w:szCs w:val="22"/>
        </w:rPr>
        <w:t xml:space="preserve">how any US </w:t>
      </w:r>
      <w:r w:rsidR="00A236F4">
        <w:rPr>
          <w:rFonts w:ascii="Times New Roman" w:hAnsi="Times New Roman" w:cs="Times New Roman"/>
          <w:sz w:val="22"/>
          <w:szCs w:val="22"/>
        </w:rPr>
        <w:t>tariffs on Canada</w:t>
      </w:r>
      <w:r w:rsidR="007F6383">
        <w:rPr>
          <w:rFonts w:ascii="Times New Roman" w:hAnsi="Times New Roman" w:cs="Times New Roman"/>
          <w:sz w:val="22"/>
          <w:szCs w:val="22"/>
        </w:rPr>
        <w:t>’s exports</w:t>
      </w:r>
      <w:r w:rsidR="00A236F4">
        <w:rPr>
          <w:rFonts w:ascii="Times New Roman" w:hAnsi="Times New Roman" w:cs="Times New Roman"/>
          <w:sz w:val="22"/>
          <w:szCs w:val="22"/>
        </w:rPr>
        <w:t xml:space="preserve"> </w:t>
      </w:r>
      <w:r>
        <w:rPr>
          <w:rFonts w:ascii="Times New Roman" w:hAnsi="Times New Roman" w:cs="Times New Roman"/>
          <w:sz w:val="22"/>
          <w:szCs w:val="22"/>
        </w:rPr>
        <w:t xml:space="preserve">will align </w:t>
      </w:r>
      <w:bookmarkStart w:id="0" w:name="_Hlk194413797"/>
      <w:r>
        <w:rPr>
          <w:rFonts w:ascii="Times New Roman" w:hAnsi="Times New Roman" w:cs="Times New Roman"/>
          <w:sz w:val="22"/>
          <w:szCs w:val="22"/>
        </w:rPr>
        <w:t xml:space="preserve">– </w:t>
      </w:r>
      <w:bookmarkEnd w:id="0"/>
      <w:r>
        <w:rPr>
          <w:rFonts w:ascii="Times New Roman" w:hAnsi="Times New Roman" w:cs="Times New Roman"/>
          <w:sz w:val="22"/>
          <w:szCs w:val="22"/>
        </w:rPr>
        <w:t>or not</w:t>
      </w:r>
      <w:r w:rsidR="00A236F4">
        <w:rPr>
          <w:rFonts w:ascii="Times New Roman" w:hAnsi="Times New Roman" w:cs="Times New Roman"/>
          <w:sz w:val="22"/>
          <w:szCs w:val="22"/>
        </w:rPr>
        <w:t xml:space="preserve"> </w:t>
      </w:r>
      <w:bookmarkStart w:id="1" w:name="_Hlk194414653"/>
      <w:r w:rsidRPr="000066F7">
        <w:rPr>
          <w:rFonts w:ascii="Times New Roman" w:hAnsi="Times New Roman" w:cs="Times New Roman"/>
          <w:sz w:val="22"/>
          <w:szCs w:val="22"/>
        </w:rPr>
        <w:t xml:space="preserve">– </w:t>
      </w:r>
      <w:bookmarkEnd w:id="1"/>
      <w:r>
        <w:rPr>
          <w:rFonts w:ascii="Times New Roman" w:hAnsi="Times New Roman" w:cs="Times New Roman"/>
          <w:sz w:val="22"/>
          <w:szCs w:val="22"/>
        </w:rPr>
        <w:t>with the existing USMCA free trade deal Trump signed in his first term in office</w:t>
      </w:r>
      <w:r w:rsidR="00A236F4">
        <w:rPr>
          <w:rFonts w:ascii="Times New Roman" w:hAnsi="Times New Roman" w:cs="Times New Roman"/>
          <w:sz w:val="22"/>
          <w:szCs w:val="22"/>
        </w:rPr>
        <w:t>,</w:t>
      </w:r>
      <w:r w:rsidR="007F6383">
        <w:rPr>
          <w:rFonts w:ascii="Times New Roman" w:hAnsi="Times New Roman" w:cs="Times New Roman"/>
          <w:sz w:val="22"/>
          <w:szCs w:val="22"/>
        </w:rPr>
        <w:t xml:space="preserve"> an agreement </w:t>
      </w:r>
      <w:r w:rsidR="00A236F4">
        <w:rPr>
          <w:rFonts w:ascii="Times New Roman" w:hAnsi="Times New Roman" w:cs="Times New Roman"/>
          <w:sz w:val="22"/>
          <w:szCs w:val="22"/>
        </w:rPr>
        <w:t xml:space="preserve">which is due for scheduled </w:t>
      </w:r>
      <w:r w:rsidR="007F6383">
        <w:rPr>
          <w:rFonts w:ascii="Times New Roman" w:hAnsi="Times New Roman" w:cs="Times New Roman"/>
          <w:sz w:val="22"/>
          <w:szCs w:val="22"/>
        </w:rPr>
        <w:t>re</w:t>
      </w:r>
      <w:r w:rsidR="00A236F4">
        <w:rPr>
          <w:rFonts w:ascii="Times New Roman" w:hAnsi="Times New Roman" w:cs="Times New Roman"/>
          <w:sz w:val="22"/>
          <w:szCs w:val="22"/>
        </w:rPr>
        <w:t xml:space="preserve">negotiation </w:t>
      </w:r>
      <w:r w:rsidR="007F6383">
        <w:rPr>
          <w:rFonts w:ascii="Times New Roman" w:hAnsi="Times New Roman" w:cs="Times New Roman"/>
          <w:sz w:val="22"/>
          <w:szCs w:val="22"/>
        </w:rPr>
        <w:t>next year</w:t>
      </w:r>
      <w:r w:rsidR="00247ACE">
        <w:rPr>
          <w:rFonts w:ascii="Times New Roman" w:hAnsi="Times New Roman" w:cs="Times New Roman"/>
          <w:sz w:val="22"/>
          <w:szCs w:val="22"/>
        </w:rPr>
        <w:t xml:space="preserve">, </w:t>
      </w:r>
      <w:r w:rsidR="007F6383">
        <w:rPr>
          <w:rFonts w:ascii="Times New Roman" w:hAnsi="Times New Roman" w:cs="Times New Roman"/>
          <w:sz w:val="22"/>
          <w:szCs w:val="22"/>
        </w:rPr>
        <w:t xml:space="preserve">if not sooner. </w:t>
      </w:r>
    </w:p>
    <w:p w14:paraId="3F72D8A1" w14:textId="3A6FE558" w:rsidR="000066F7" w:rsidRPr="000066F7" w:rsidRDefault="00A236F4" w:rsidP="000066F7">
      <w:pPr>
        <w:rPr>
          <w:rFonts w:ascii="Times New Roman" w:hAnsi="Times New Roman" w:cs="Times New Roman"/>
          <w:sz w:val="22"/>
          <w:szCs w:val="22"/>
        </w:rPr>
      </w:pPr>
      <w:r>
        <w:rPr>
          <w:rFonts w:ascii="Times New Roman" w:hAnsi="Times New Roman" w:cs="Times New Roman"/>
          <w:sz w:val="22"/>
          <w:szCs w:val="22"/>
        </w:rPr>
        <w:t xml:space="preserve">The dislocations of the first quarter are a timely reminder of the value of making diversification a core part of a long-term and </w:t>
      </w:r>
      <w:r w:rsidR="000066F7" w:rsidRPr="000066F7">
        <w:rPr>
          <w:rFonts w:ascii="Times New Roman" w:hAnsi="Times New Roman" w:cs="Times New Roman"/>
          <w:sz w:val="22"/>
          <w:szCs w:val="22"/>
        </w:rPr>
        <w:t>disciplined approach to investing</w:t>
      </w:r>
      <w:r>
        <w:rPr>
          <w:rFonts w:ascii="Times New Roman" w:hAnsi="Times New Roman" w:cs="Times New Roman"/>
          <w:sz w:val="22"/>
          <w:szCs w:val="22"/>
        </w:rPr>
        <w:t>.</w:t>
      </w:r>
      <w:r w:rsidR="000066F7" w:rsidRPr="000066F7">
        <w:rPr>
          <w:rFonts w:ascii="Times New Roman" w:hAnsi="Times New Roman" w:cs="Times New Roman"/>
          <w:sz w:val="22"/>
          <w:szCs w:val="22"/>
        </w:rPr>
        <w:t xml:space="preserve"> Thank you for your continued trust in me and my team for the opportunity to assist you in working toward your financial goals. Should you have any questions regarding your portfolio, please do not hesitate to contact my office.</w:t>
      </w:r>
    </w:p>
    <w:p w14:paraId="400F93C6" w14:textId="77777777" w:rsidR="00373F85" w:rsidRDefault="00373F85" w:rsidP="007F6383">
      <w:pPr>
        <w:rPr>
          <w:rFonts w:ascii="Times New Roman" w:eastAsia="Aptos" w:hAnsi="Times New Roman" w:cs="Times New Roman"/>
          <w:sz w:val="22"/>
          <w:szCs w:val="22"/>
        </w:rPr>
      </w:pPr>
    </w:p>
    <w:p w14:paraId="5B4A371F" w14:textId="0B1BAEDA" w:rsidR="007F6383" w:rsidRPr="007F6383" w:rsidRDefault="007F6383" w:rsidP="007F6383">
      <w:pPr>
        <w:rPr>
          <w:rFonts w:ascii="Times New Roman" w:eastAsia="Aptos" w:hAnsi="Times New Roman" w:cs="Times New Roman"/>
          <w:sz w:val="22"/>
          <w:szCs w:val="22"/>
        </w:rPr>
      </w:pPr>
      <w:r w:rsidRPr="007F6383">
        <w:rPr>
          <w:rFonts w:ascii="Times New Roman" w:eastAsia="Aptos" w:hAnsi="Times New Roman" w:cs="Times New Roman"/>
          <w:sz w:val="22"/>
          <w:szCs w:val="22"/>
        </w:rPr>
        <w:t xml:space="preserve">Sincerely, </w:t>
      </w:r>
    </w:p>
    <w:p w14:paraId="493196E0" w14:textId="77777777" w:rsidR="007F6383" w:rsidRDefault="007F6383" w:rsidP="007F6383">
      <w:pPr>
        <w:rPr>
          <w:rFonts w:ascii="Times New Roman" w:eastAsia="Aptos" w:hAnsi="Times New Roman" w:cs="Times New Roman"/>
          <w:sz w:val="22"/>
          <w:szCs w:val="22"/>
        </w:rPr>
      </w:pPr>
      <w:r w:rsidRPr="007F6383">
        <w:rPr>
          <w:rFonts w:ascii="Times New Roman" w:eastAsia="Aptos" w:hAnsi="Times New Roman" w:cs="Times New Roman"/>
          <w:sz w:val="22"/>
          <w:szCs w:val="22"/>
        </w:rPr>
        <w:t>[Financial Advisor]</w:t>
      </w:r>
    </w:p>
    <w:p w14:paraId="65067494" w14:textId="77777777" w:rsidR="00373F85" w:rsidRDefault="00373F85" w:rsidP="007F6383">
      <w:pPr>
        <w:rPr>
          <w:rFonts w:ascii="Times New Roman" w:eastAsia="Aptos" w:hAnsi="Times New Roman" w:cs="Times New Roman"/>
          <w:sz w:val="22"/>
          <w:szCs w:val="22"/>
        </w:rPr>
      </w:pPr>
    </w:p>
    <w:p w14:paraId="4DA7D371" w14:textId="2FBC8620" w:rsidR="00373F85" w:rsidRPr="00373F85" w:rsidRDefault="00373F85" w:rsidP="00373F85">
      <w:pPr>
        <w:spacing w:after="0" w:line="240" w:lineRule="auto"/>
        <w:rPr>
          <w:rFonts w:ascii="Times New Roman" w:eastAsia="Aptos" w:hAnsi="Times New Roman" w:cs="Times New Roman"/>
          <w:b/>
          <w:bCs/>
          <w:sz w:val="22"/>
          <w:szCs w:val="22"/>
        </w:rPr>
      </w:pPr>
      <w:r w:rsidRPr="00373F85">
        <w:rPr>
          <w:rFonts w:ascii="Times New Roman" w:eastAsia="Aptos" w:hAnsi="Times New Roman" w:cs="Times New Roman"/>
          <w:b/>
          <w:bCs/>
          <w:sz w:val="22"/>
          <w:szCs w:val="22"/>
        </w:rPr>
        <w:t xml:space="preserve">Note: </w:t>
      </w:r>
    </w:p>
    <w:p w14:paraId="33AB05E3" w14:textId="134F699B" w:rsidR="00373F85" w:rsidRPr="007F6383" w:rsidRDefault="00373F85" w:rsidP="007F6383">
      <w:pPr>
        <w:rPr>
          <w:rFonts w:ascii="Times New Roman" w:eastAsia="Aptos" w:hAnsi="Times New Roman" w:cs="Times New Roman"/>
          <w:sz w:val="22"/>
          <w:szCs w:val="22"/>
        </w:rPr>
      </w:pPr>
      <w:r>
        <w:rPr>
          <w:rFonts w:ascii="Times New Roman" w:eastAsia="Aptos" w:hAnsi="Times New Roman" w:cs="Times New Roman"/>
          <w:sz w:val="22"/>
          <w:szCs w:val="22"/>
        </w:rPr>
        <w:t>All index performance is in Canadian dollars.</w:t>
      </w:r>
    </w:p>
    <w:p w14:paraId="0E75E5D8" w14:textId="77777777" w:rsidR="007F6383" w:rsidRPr="007F6383" w:rsidRDefault="007F6383" w:rsidP="007F6383">
      <w:pPr>
        <w:rPr>
          <w:rFonts w:ascii="Aptos" w:eastAsia="Aptos" w:hAnsi="Aptos" w:cs="Times New Roman"/>
          <w:sz w:val="22"/>
          <w:szCs w:val="22"/>
        </w:rPr>
      </w:pPr>
    </w:p>
    <w:p w14:paraId="3BF7408D" w14:textId="6FCC033A" w:rsidR="006629ED" w:rsidRDefault="007F6383" w:rsidP="006629ED">
      <w:pPr>
        <w:rPr>
          <w:rFonts w:ascii="Times New Roman" w:eastAsia="Aptos" w:hAnsi="Times New Roman" w:cs="Times New Roman"/>
          <w:i/>
          <w:iCs/>
          <w:sz w:val="22"/>
          <w:szCs w:val="22"/>
        </w:rPr>
      </w:pPr>
      <w:r w:rsidRPr="007F6383">
        <w:rPr>
          <w:rFonts w:ascii="Times New Roman" w:eastAsia="Aptos" w:hAnsi="Times New Roman" w:cs="Times New Roman"/>
          <w:i/>
          <w:iCs/>
          <w:sz w:val="22"/>
          <w:szCs w:val="22"/>
        </w:rPr>
        <w:t xml:space="preserve">The information in this letter is derived from various sources, including </w:t>
      </w:r>
      <w:r w:rsidR="007B0F96">
        <w:rPr>
          <w:rFonts w:ascii="Times New Roman" w:eastAsia="Aptos" w:hAnsi="Times New Roman" w:cs="Times New Roman"/>
          <w:i/>
          <w:iCs/>
          <w:sz w:val="22"/>
          <w:szCs w:val="22"/>
        </w:rPr>
        <w:t>Wall Street Journal, ISM World, U.S. Bureau of Labor Statistics, The Globe and Mail, BNN Bloomberg, Financial Times, Bureau of Economic Analysis, Toronto Star, and Statistics Canada</w:t>
      </w:r>
      <w:r w:rsidRPr="007F6383">
        <w:rPr>
          <w:rFonts w:ascii="Times New Roman" w:eastAsia="Aptos" w:hAnsi="Times New Roman" w:cs="Times New Roman"/>
          <w:i/>
          <w:iCs/>
          <w:sz w:val="22"/>
          <w:szCs w:val="22"/>
        </w:rPr>
        <w:t xml:space="preserve"> at various dates. </w:t>
      </w:r>
      <w:r w:rsidR="007B0F96" w:rsidRPr="007B0F96">
        <w:rPr>
          <w:rFonts w:ascii="Times New Roman" w:eastAsia="Aptos" w:hAnsi="Times New Roman" w:cs="Times New Roman"/>
          <w:i/>
          <w:iCs/>
          <w:sz w:val="22"/>
          <w:szCs w:val="22"/>
        </w:rPr>
        <w:t xml:space="preserve">This material is provided for general information and is subject to change without notice. Every effort has been made to compile this material from reliable sources and reasonable steps have been taken to ensure their accuracy. Market conditions may change which may impact the information contained in this document. Before acting on any of the above, please contact me for individual financial advice based on your personal circumstances. </w:t>
      </w:r>
      <w:r w:rsidR="007B0F96" w:rsidRPr="007B0F96">
        <w:rPr>
          <w:rFonts w:ascii="Times New Roman" w:eastAsia="Aptos" w:hAnsi="Times New Roman" w:cs="Times New Roman"/>
          <w:i/>
          <w:iCs/>
          <w:sz w:val="22"/>
          <w:szCs w:val="22"/>
        </w:rPr>
        <w:lastRenderedPageBreak/>
        <w:t>Certain statements contained in this communication are based in whole or in part on information provided by third parties and CI Global Asset Management has taken reasonable steps to ensure their accuracy. Market conditions may change which may impact the information contained in this document.</w:t>
      </w:r>
    </w:p>
    <w:p w14:paraId="6674F4B2" w14:textId="17B07721" w:rsidR="00773B7D" w:rsidRPr="007B0F96" w:rsidRDefault="00773B7D" w:rsidP="006629ED">
      <w:pPr>
        <w:rPr>
          <w:rFonts w:ascii="Times New Roman" w:eastAsia="Aptos" w:hAnsi="Times New Roman" w:cs="Times New Roman"/>
          <w:i/>
          <w:iCs/>
          <w:sz w:val="22"/>
          <w:szCs w:val="22"/>
        </w:rPr>
      </w:pPr>
      <w:r w:rsidRPr="00773B7D">
        <w:rPr>
          <w:rFonts w:ascii="Times New Roman" w:eastAsia="Aptos" w:hAnsi="Times New Roman" w:cs="Times New Roman"/>
          <w:i/>
          <w:iCs/>
          <w:sz w:val="22"/>
          <w:szCs w:val="22"/>
        </w:rPr>
        <w:t>Certain statements in this document are forward-looking. Forward-looking statements (“FLS”) are statements that are predictive in nature, depend upon or refer to future events or conditions, or that include words such as “may,” “will,” “should,” “could,” “expect,” “anticipate,” “intend,” “plan,” “believe,” or “estimate,” or other similar expressions. Statements that look forward in time or include anything other than historical information are subject to risks and uncertainties, and actual results, actions or events could differ materially from those set forth in the FLS. FLS are not guarantees of future performance and are by their nature based on numerous assumptions. Although the FLS contained herein are based upon what CI Global Asset Management and the portfolio manager believe to be reasonable assumptions, neither CI Global Asset Management nor the portfolio manager can assure that actual results will be consistent with these FLS. The reader is cautioned to consider the FLS carefully and not to place undue reliance on FLS. Unless required by applicable law, it is not undertaken, and specifically disclaimed that there is any intention or obligation to update or revise FLS, whether as a result of new information, future events or otherwise.</w:t>
      </w:r>
    </w:p>
    <w:sectPr w:rsidR="00773B7D" w:rsidRPr="007B0F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612CF"/>
    <w:multiLevelType w:val="hybridMultilevel"/>
    <w:tmpl w:val="7C5C3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62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3E"/>
    <w:rsid w:val="000066F7"/>
    <w:rsid w:val="0001190C"/>
    <w:rsid w:val="0004191A"/>
    <w:rsid w:val="00052F97"/>
    <w:rsid w:val="000619F4"/>
    <w:rsid w:val="00073791"/>
    <w:rsid w:val="000820CD"/>
    <w:rsid w:val="000A1531"/>
    <w:rsid w:val="0011017A"/>
    <w:rsid w:val="00194E61"/>
    <w:rsid w:val="001968F5"/>
    <w:rsid w:val="001B0607"/>
    <w:rsid w:val="001C18BA"/>
    <w:rsid w:val="001D7650"/>
    <w:rsid w:val="001F5588"/>
    <w:rsid w:val="001F65C9"/>
    <w:rsid w:val="00226E9F"/>
    <w:rsid w:val="002302D5"/>
    <w:rsid w:val="00247ACE"/>
    <w:rsid w:val="00250CBC"/>
    <w:rsid w:val="002A330E"/>
    <w:rsid w:val="0031772B"/>
    <w:rsid w:val="003235C6"/>
    <w:rsid w:val="00373F85"/>
    <w:rsid w:val="003C0494"/>
    <w:rsid w:val="003F7A17"/>
    <w:rsid w:val="004445B8"/>
    <w:rsid w:val="00451CA5"/>
    <w:rsid w:val="004744AF"/>
    <w:rsid w:val="00493145"/>
    <w:rsid w:val="004A718C"/>
    <w:rsid w:val="004B1ECB"/>
    <w:rsid w:val="004E2F82"/>
    <w:rsid w:val="005061C8"/>
    <w:rsid w:val="005507D4"/>
    <w:rsid w:val="00575C3E"/>
    <w:rsid w:val="005822BD"/>
    <w:rsid w:val="005919B2"/>
    <w:rsid w:val="005D3A23"/>
    <w:rsid w:val="005D4040"/>
    <w:rsid w:val="005E2C23"/>
    <w:rsid w:val="00635D66"/>
    <w:rsid w:val="006629ED"/>
    <w:rsid w:val="006659AD"/>
    <w:rsid w:val="0067476A"/>
    <w:rsid w:val="006F25CC"/>
    <w:rsid w:val="007667D6"/>
    <w:rsid w:val="00771AC5"/>
    <w:rsid w:val="00773B7D"/>
    <w:rsid w:val="0077797D"/>
    <w:rsid w:val="007B0F96"/>
    <w:rsid w:val="007C5397"/>
    <w:rsid w:val="007D0F78"/>
    <w:rsid w:val="007F6383"/>
    <w:rsid w:val="00804998"/>
    <w:rsid w:val="00810D11"/>
    <w:rsid w:val="00822BFB"/>
    <w:rsid w:val="00874761"/>
    <w:rsid w:val="00886855"/>
    <w:rsid w:val="008C5AD6"/>
    <w:rsid w:val="008F57BC"/>
    <w:rsid w:val="00917763"/>
    <w:rsid w:val="00991D50"/>
    <w:rsid w:val="009B1DF7"/>
    <w:rsid w:val="009C737E"/>
    <w:rsid w:val="009D7491"/>
    <w:rsid w:val="00A236F4"/>
    <w:rsid w:val="00A36A06"/>
    <w:rsid w:val="00A55107"/>
    <w:rsid w:val="00A66ECB"/>
    <w:rsid w:val="00A8552B"/>
    <w:rsid w:val="00A97E24"/>
    <w:rsid w:val="00AA36CB"/>
    <w:rsid w:val="00AC1523"/>
    <w:rsid w:val="00AE5BB2"/>
    <w:rsid w:val="00B3174E"/>
    <w:rsid w:val="00B97664"/>
    <w:rsid w:val="00BC3F27"/>
    <w:rsid w:val="00BF3EFB"/>
    <w:rsid w:val="00C173A3"/>
    <w:rsid w:val="00C504DE"/>
    <w:rsid w:val="00C64729"/>
    <w:rsid w:val="00C64A8E"/>
    <w:rsid w:val="00C760FE"/>
    <w:rsid w:val="00C82F6B"/>
    <w:rsid w:val="00C84CE0"/>
    <w:rsid w:val="00CD1030"/>
    <w:rsid w:val="00CD565A"/>
    <w:rsid w:val="00D06C7D"/>
    <w:rsid w:val="00D14256"/>
    <w:rsid w:val="00D20D1F"/>
    <w:rsid w:val="00D26E03"/>
    <w:rsid w:val="00D27E4C"/>
    <w:rsid w:val="00D32630"/>
    <w:rsid w:val="00D93972"/>
    <w:rsid w:val="00DA3867"/>
    <w:rsid w:val="00DB3AC7"/>
    <w:rsid w:val="00E50D66"/>
    <w:rsid w:val="00E74225"/>
    <w:rsid w:val="00EF0DB9"/>
    <w:rsid w:val="00EF46A7"/>
    <w:rsid w:val="00EF6F81"/>
    <w:rsid w:val="00EF7079"/>
    <w:rsid w:val="00F07283"/>
    <w:rsid w:val="00F5651B"/>
    <w:rsid w:val="00F6219E"/>
    <w:rsid w:val="00F62F2D"/>
    <w:rsid w:val="00FC0070"/>
    <w:rsid w:val="00FC29A8"/>
    <w:rsid w:val="00FD1EC6"/>
    <w:rsid w:val="00FD31E3"/>
    <w:rsid w:val="00FD7D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57FE"/>
  <w15:chartTrackingRefBased/>
  <w15:docId w15:val="{7432D022-C0F2-4EB5-82FC-3BB44175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C3E"/>
    <w:rPr>
      <w:rFonts w:eastAsiaTheme="majorEastAsia" w:cstheme="majorBidi"/>
      <w:color w:val="272727" w:themeColor="text1" w:themeTint="D8"/>
    </w:rPr>
  </w:style>
  <w:style w:type="paragraph" w:styleId="Title">
    <w:name w:val="Title"/>
    <w:basedOn w:val="Normal"/>
    <w:next w:val="Normal"/>
    <w:link w:val="TitleChar"/>
    <w:uiPriority w:val="10"/>
    <w:qFormat/>
    <w:rsid w:val="0057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C3E"/>
    <w:pPr>
      <w:spacing w:before="160"/>
      <w:jc w:val="center"/>
    </w:pPr>
    <w:rPr>
      <w:i/>
      <w:iCs/>
      <w:color w:val="404040" w:themeColor="text1" w:themeTint="BF"/>
    </w:rPr>
  </w:style>
  <w:style w:type="character" w:customStyle="1" w:styleId="QuoteChar">
    <w:name w:val="Quote Char"/>
    <w:basedOn w:val="DefaultParagraphFont"/>
    <w:link w:val="Quote"/>
    <w:uiPriority w:val="29"/>
    <w:rsid w:val="00575C3E"/>
    <w:rPr>
      <w:i/>
      <w:iCs/>
      <w:color w:val="404040" w:themeColor="text1" w:themeTint="BF"/>
    </w:rPr>
  </w:style>
  <w:style w:type="paragraph" w:styleId="ListParagraph">
    <w:name w:val="List Paragraph"/>
    <w:basedOn w:val="Normal"/>
    <w:uiPriority w:val="34"/>
    <w:qFormat/>
    <w:rsid w:val="00575C3E"/>
    <w:pPr>
      <w:ind w:left="720"/>
      <w:contextualSpacing/>
    </w:pPr>
  </w:style>
  <w:style w:type="character" w:styleId="IntenseEmphasis">
    <w:name w:val="Intense Emphasis"/>
    <w:basedOn w:val="DefaultParagraphFont"/>
    <w:uiPriority w:val="21"/>
    <w:qFormat/>
    <w:rsid w:val="00575C3E"/>
    <w:rPr>
      <w:i/>
      <w:iCs/>
      <w:color w:val="0F4761" w:themeColor="accent1" w:themeShade="BF"/>
    </w:rPr>
  </w:style>
  <w:style w:type="paragraph" w:styleId="IntenseQuote">
    <w:name w:val="Intense Quote"/>
    <w:basedOn w:val="Normal"/>
    <w:next w:val="Normal"/>
    <w:link w:val="IntenseQuoteChar"/>
    <w:uiPriority w:val="30"/>
    <w:qFormat/>
    <w:rsid w:val="0057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C3E"/>
    <w:rPr>
      <w:i/>
      <w:iCs/>
      <w:color w:val="0F4761" w:themeColor="accent1" w:themeShade="BF"/>
    </w:rPr>
  </w:style>
  <w:style w:type="character" w:styleId="IntenseReference">
    <w:name w:val="Intense Reference"/>
    <w:basedOn w:val="DefaultParagraphFont"/>
    <w:uiPriority w:val="32"/>
    <w:qFormat/>
    <w:rsid w:val="00575C3E"/>
    <w:rPr>
      <w:b/>
      <w:bCs/>
      <w:smallCaps/>
      <w:color w:val="0F4761" w:themeColor="accent1" w:themeShade="BF"/>
      <w:spacing w:val="5"/>
    </w:rPr>
  </w:style>
  <w:style w:type="character" w:styleId="Hyperlink">
    <w:name w:val="Hyperlink"/>
    <w:basedOn w:val="DefaultParagraphFont"/>
    <w:uiPriority w:val="99"/>
    <w:unhideWhenUsed/>
    <w:rsid w:val="00FD1EC6"/>
    <w:rPr>
      <w:color w:val="467886" w:themeColor="hyperlink"/>
      <w:u w:val="single"/>
    </w:rPr>
  </w:style>
  <w:style w:type="character" w:styleId="UnresolvedMention">
    <w:name w:val="Unresolved Mention"/>
    <w:basedOn w:val="DefaultParagraphFont"/>
    <w:uiPriority w:val="99"/>
    <w:semiHidden/>
    <w:unhideWhenUsed/>
    <w:rsid w:val="00FD1EC6"/>
    <w:rPr>
      <w:color w:val="605E5C"/>
      <w:shd w:val="clear" w:color="auto" w:fill="E1DFDD"/>
    </w:rPr>
  </w:style>
  <w:style w:type="character" w:styleId="FollowedHyperlink">
    <w:name w:val="FollowedHyperlink"/>
    <w:basedOn w:val="DefaultParagraphFont"/>
    <w:uiPriority w:val="99"/>
    <w:semiHidden/>
    <w:unhideWhenUsed/>
    <w:rsid w:val="006629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4756">
      <w:bodyDiv w:val="1"/>
      <w:marLeft w:val="0"/>
      <w:marRight w:val="0"/>
      <w:marTop w:val="0"/>
      <w:marBottom w:val="0"/>
      <w:divBdr>
        <w:top w:val="none" w:sz="0" w:space="0" w:color="auto"/>
        <w:left w:val="none" w:sz="0" w:space="0" w:color="auto"/>
        <w:bottom w:val="none" w:sz="0" w:space="0" w:color="auto"/>
        <w:right w:val="none" w:sz="0" w:space="0" w:color="auto"/>
      </w:divBdr>
    </w:div>
    <w:div w:id="385417654">
      <w:bodyDiv w:val="1"/>
      <w:marLeft w:val="0"/>
      <w:marRight w:val="0"/>
      <w:marTop w:val="0"/>
      <w:marBottom w:val="0"/>
      <w:divBdr>
        <w:top w:val="none" w:sz="0" w:space="0" w:color="auto"/>
        <w:left w:val="none" w:sz="0" w:space="0" w:color="auto"/>
        <w:bottom w:val="none" w:sz="0" w:space="0" w:color="auto"/>
        <w:right w:val="none" w:sz="0" w:space="0" w:color="auto"/>
      </w:divBdr>
      <w:divsChild>
        <w:div w:id="1212885562">
          <w:marLeft w:val="0"/>
          <w:marRight w:val="0"/>
          <w:marTop w:val="0"/>
          <w:marBottom w:val="0"/>
          <w:divBdr>
            <w:top w:val="none" w:sz="0" w:space="0" w:color="auto"/>
            <w:left w:val="none" w:sz="0" w:space="0" w:color="auto"/>
            <w:bottom w:val="none" w:sz="0" w:space="0" w:color="auto"/>
            <w:right w:val="none" w:sz="0" w:space="0" w:color="auto"/>
          </w:divBdr>
        </w:div>
      </w:divsChild>
    </w:div>
    <w:div w:id="507211978">
      <w:bodyDiv w:val="1"/>
      <w:marLeft w:val="0"/>
      <w:marRight w:val="0"/>
      <w:marTop w:val="0"/>
      <w:marBottom w:val="0"/>
      <w:divBdr>
        <w:top w:val="none" w:sz="0" w:space="0" w:color="auto"/>
        <w:left w:val="none" w:sz="0" w:space="0" w:color="auto"/>
        <w:bottom w:val="none" w:sz="0" w:space="0" w:color="auto"/>
        <w:right w:val="none" w:sz="0" w:space="0" w:color="auto"/>
      </w:divBdr>
    </w:div>
    <w:div w:id="551576698">
      <w:bodyDiv w:val="1"/>
      <w:marLeft w:val="0"/>
      <w:marRight w:val="0"/>
      <w:marTop w:val="0"/>
      <w:marBottom w:val="0"/>
      <w:divBdr>
        <w:top w:val="none" w:sz="0" w:space="0" w:color="auto"/>
        <w:left w:val="none" w:sz="0" w:space="0" w:color="auto"/>
        <w:bottom w:val="none" w:sz="0" w:space="0" w:color="auto"/>
        <w:right w:val="none" w:sz="0" w:space="0" w:color="auto"/>
      </w:divBdr>
    </w:div>
    <w:div w:id="984552708">
      <w:bodyDiv w:val="1"/>
      <w:marLeft w:val="0"/>
      <w:marRight w:val="0"/>
      <w:marTop w:val="0"/>
      <w:marBottom w:val="0"/>
      <w:divBdr>
        <w:top w:val="none" w:sz="0" w:space="0" w:color="auto"/>
        <w:left w:val="none" w:sz="0" w:space="0" w:color="auto"/>
        <w:bottom w:val="none" w:sz="0" w:space="0" w:color="auto"/>
        <w:right w:val="none" w:sz="0" w:space="0" w:color="auto"/>
      </w:divBdr>
    </w:div>
    <w:div w:id="1090858392">
      <w:bodyDiv w:val="1"/>
      <w:marLeft w:val="0"/>
      <w:marRight w:val="0"/>
      <w:marTop w:val="0"/>
      <w:marBottom w:val="0"/>
      <w:divBdr>
        <w:top w:val="none" w:sz="0" w:space="0" w:color="auto"/>
        <w:left w:val="none" w:sz="0" w:space="0" w:color="auto"/>
        <w:bottom w:val="none" w:sz="0" w:space="0" w:color="auto"/>
        <w:right w:val="none" w:sz="0" w:space="0" w:color="auto"/>
      </w:divBdr>
    </w:div>
    <w:div w:id="1369768020">
      <w:bodyDiv w:val="1"/>
      <w:marLeft w:val="0"/>
      <w:marRight w:val="0"/>
      <w:marTop w:val="0"/>
      <w:marBottom w:val="0"/>
      <w:divBdr>
        <w:top w:val="none" w:sz="0" w:space="0" w:color="auto"/>
        <w:left w:val="none" w:sz="0" w:space="0" w:color="auto"/>
        <w:bottom w:val="none" w:sz="0" w:space="0" w:color="auto"/>
        <w:right w:val="none" w:sz="0" w:space="0" w:color="auto"/>
      </w:divBdr>
    </w:div>
    <w:div w:id="1577741270">
      <w:bodyDiv w:val="1"/>
      <w:marLeft w:val="0"/>
      <w:marRight w:val="0"/>
      <w:marTop w:val="0"/>
      <w:marBottom w:val="0"/>
      <w:divBdr>
        <w:top w:val="none" w:sz="0" w:space="0" w:color="auto"/>
        <w:left w:val="none" w:sz="0" w:space="0" w:color="auto"/>
        <w:bottom w:val="none" w:sz="0" w:space="0" w:color="auto"/>
        <w:right w:val="none" w:sz="0" w:space="0" w:color="auto"/>
      </w:divBdr>
    </w:div>
    <w:div w:id="1689410219">
      <w:bodyDiv w:val="1"/>
      <w:marLeft w:val="0"/>
      <w:marRight w:val="0"/>
      <w:marTop w:val="0"/>
      <w:marBottom w:val="0"/>
      <w:divBdr>
        <w:top w:val="none" w:sz="0" w:space="0" w:color="auto"/>
        <w:left w:val="none" w:sz="0" w:space="0" w:color="auto"/>
        <w:bottom w:val="none" w:sz="0" w:space="0" w:color="auto"/>
        <w:right w:val="none" w:sz="0" w:space="0" w:color="auto"/>
      </w:divBdr>
    </w:div>
    <w:div w:id="2022008387">
      <w:bodyDiv w:val="1"/>
      <w:marLeft w:val="0"/>
      <w:marRight w:val="0"/>
      <w:marTop w:val="0"/>
      <w:marBottom w:val="0"/>
      <w:divBdr>
        <w:top w:val="none" w:sz="0" w:space="0" w:color="auto"/>
        <w:left w:val="none" w:sz="0" w:space="0" w:color="auto"/>
        <w:bottom w:val="none" w:sz="0" w:space="0" w:color="auto"/>
        <w:right w:val="none" w:sz="0" w:space="0" w:color="auto"/>
      </w:divBdr>
    </w:div>
    <w:div w:id="20323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Goldie</dc:creator>
  <cp:keywords/>
  <dc:description/>
  <cp:lastModifiedBy>Trudeau, Kate</cp:lastModifiedBy>
  <cp:revision>12</cp:revision>
  <cp:lastPrinted>2025-04-01T19:51:00Z</cp:lastPrinted>
  <dcterms:created xsi:type="dcterms:W3CDTF">2025-04-01T20:33:00Z</dcterms:created>
  <dcterms:modified xsi:type="dcterms:W3CDTF">2025-04-02T19:25:00Z</dcterms:modified>
</cp:coreProperties>
</file>